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B74AD" w14:textId="77777777" w:rsidR="00D44385" w:rsidRPr="008E6081" w:rsidRDefault="00D90297">
      <w:pPr>
        <w:spacing w:before="60" w:after="40"/>
        <w:rPr>
          <w:lang w:val="de-DE"/>
        </w:rPr>
      </w:pPr>
      <w:r w:rsidRPr="008E6081">
        <w:rPr>
          <w:b/>
          <w:color w:val="4E2B60"/>
          <w:sz w:val="48"/>
          <w:lang w:val="de-DE"/>
        </w:rPr>
        <w:t>Büroorganisation im Verwaltungsteam</w:t>
      </w:r>
    </w:p>
    <w:p w14:paraId="7EA7E9C9" w14:textId="77777777" w:rsidR="00D44385" w:rsidRPr="008E6081" w:rsidRDefault="00D90297">
      <w:pPr>
        <w:spacing w:after="200"/>
        <w:rPr>
          <w:lang w:val="de-DE"/>
        </w:rPr>
      </w:pPr>
      <w:r w:rsidRPr="008E6081">
        <w:rPr>
          <w:b/>
          <w:sz w:val="26"/>
          <w:lang w:val="de-DE"/>
        </w:rPr>
        <w:t>Gemeinsame Organisation und Bearbeitung eines Funktionspostfachs</w:t>
      </w:r>
    </w:p>
    <w:p w14:paraId="0AC0B52A" w14:textId="632D60F0" w:rsidR="00D44385" w:rsidRPr="008E6081" w:rsidRDefault="00D90297">
      <w:pPr>
        <w:spacing w:after="140" w:line="264" w:lineRule="auto"/>
        <w:rPr>
          <w:lang w:val="de-DE"/>
        </w:rPr>
      </w:pPr>
      <w:r w:rsidRPr="008E6081">
        <w:rPr>
          <w:lang w:val="de-DE"/>
        </w:rPr>
        <w:t xml:space="preserve">Damit die </w:t>
      </w:r>
      <w:r w:rsidR="008E6081">
        <w:rPr>
          <w:lang w:val="de-DE"/>
        </w:rPr>
        <w:t>Arbeit mit dem Funktionspostfach</w:t>
      </w:r>
      <w:r w:rsidRPr="008E6081">
        <w:rPr>
          <w:lang w:val="de-DE"/>
        </w:rPr>
        <w:t xml:space="preserve"> zuverlässig funktioniert, müssen Zuständigkeiten, </w:t>
      </w:r>
      <w:r w:rsidR="008E6081">
        <w:rPr>
          <w:lang w:val="de-DE"/>
        </w:rPr>
        <w:t xml:space="preserve">ggf. </w:t>
      </w:r>
      <w:r w:rsidRPr="008E6081">
        <w:rPr>
          <w:lang w:val="de-DE"/>
        </w:rPr>
        <w:t xml:space="preserve">Bearbeitungsstände und Ablagewege für alle Teammitglieder eindeutig und auf den ersten Blick erkennbar sein. Die nachfolgenden </w:t>
      </w:r>
      <w:r w:rsidR="008E6081">
        <w:rPr>
          <w:lang w:val="de-DE"/>
        </w:rPr>
        <w:t xml:space="preserve">Beispiele könnten als </w:t>
      </w:r>
      <w:r w:rsidRPr="008E6081">
        <w:rPr>
          <w:lang w:val="de-DE"/>
        </w:rPr>
        <w:t>Grundlage für eine einheitliche Arbeitsweise im Verwaltungsteam</w:t>
      </w:r>
      <w:r w:rsidR="008E6081">
        <w:rPr>
          <w:lang w:val="de-DE"/>
        </w:rPr>
        <w:t xml:space="preserve"> dienen</w:t>
      </w:r>
      <w:r w:rsidRPr="008E6081">
        <w:rPr>
          <w:lang w:val="de-DE"/>
        </w:rPr>
        <w:t>.</w:t>
      </w:r>
    </w:p>
    <w:tbl>
      <w:tblPr>
        <w:tblW w:w="0" w:type="auto"/>
        <w:jc w:val="center"/>
        <w:tblBorders>
          <w:top w:val="single" w:sz="10" w:space="0" w:color="623878"/>
          <w:left w:val="single" w:sz="10" w:space="0" w:color="623878"/>
          <w:bottom w:val="single" w:sz="10" w:space="0" w:color="623878"/>
          <w:right w:val="single" w:sz="10" w:space="0" w:color="623878"/>
          <w:insideH w:val="single" w:sz="10" w:space="0" w:color="623878"/>
          <w:insideV w:val="single" w:sz="10" w:space="0" w:color="623878"/>
        </w:tblBorders>
        <w:tblLook w:val="04A0" w:firstRow="1" w:lastRow="0" w:firstColumn="1" w:lastColumn="0" w:noHBand="0" w:noVBand="1"/>
      </w:tblPr>
      <w:tblGrid>
        <w:gridCol w:w="9952"/>
      </w:tblGrid>
      <w:tr w:rsidR="00D44385" w:rsidRPr="008E6081" w14:paraId="51DA73BD" w14:textId="77777777">
        <w:trPr>
          <w:jc w:val="center"/>
        </w:trPr>
        <w:tc>
          <w:tcPr>
            <w:tcW w:w="9978" w:type="dxa"/>
            <w:shd w:val="clear" w:color="auto" w:fill="F2ECF5"/>
            <w:tcMar>
              <w:top w:w="120" w:type="dxa"/>
              <w:left w:w="160" w:type="dxa"/>
              <w:bottom w:w="120" w:type="dxa"/>
              <w:right w:w="160" w:type="dxa"/>
            </w:tcMar>
          </w:tcPr>
          <w:p w14:paraId="1DF2CA87" w14:textId="77777777" w:rsidR="00D44385" w:rsidRPr="008E6081" w:rsidRDefault="00D90297">
            <w:pPr>
              <w:spacing w:after="40"/>
              <w:rPr>
                <w:lang w:val="de-DE"/>
              </w:rPr>
            </w:pPr>
            <w:r w:rsidRPr="008E6081">
              <w:rPr>
                <w:b/>
                <w:color w:val="4E2B60"/>
                <w:sz w:val="21"/>
                <w:lang w:val="de-DE"/>
              </w:rPr>
              <w:t>Ziel</w:t>
            </w:r>
          </w:p>
          <w:p w14:paraId="06504E5A" w14:textId="77777777" w:rsidR="00D44385" w:rsidRPr="008E6081" w:rsidRDefault="00D90297">
            <w:pPr>
              <w:spacing w:after="0"/>
              <w:rPr>
                <w:lang w:val="de-DE"/>
              </w:rPr>
            </w:pPr>
            <w:r w:rsidRPr="008E6081">
              <w:rPr>
                <w:lang w:val="de-DE"/>
              </w:rPr>
              <w:t>Ein übersichtlicher Posteingang, eine eindeutige Zuständigkeit je Vorgang, eine für das gesamte Team nachvollziehbare Bearbeitung und eine einheitliche Ablage nach der geltenden Schriftgutordnung (SGO).</w:t>
            </w:r>
          </w:p>
        </w:tc>
      </w:tr>
    </w:tbl>
    <w:p w14:paraId="4496F778" w14:textId="77777777" w:rsidR="00D44385" w:rsidRPr="008E6081" w:rsidRDefault="00D90297">
      <w:pPr>
        <w:pStyle w:val="berschrift1"/>
        <w:spacing w:before="180" w:after="100"/>
        <w:rPr>
          <w:lang w:val="de-DE"/>
        </w:rPr>
      </w:pPr>
      <w:r w:rsidRPr="008E6081">
        <w:rPr>
          <w:rFonts w:ascii="Arial" w:hAnsi="Arial"/>
          <w:color w:val="4E2B60"/>
          <w:sz w:val="30"/>
          <w:lang w:val="de-DE"/>
        </w:rPr>
        <w:t>1. Grundprinzip</w:t>
      </w:r>
    </w:p>
    <w:p w14:paraId="6EA0A051" w14:textId="77777777" w:rsidR="00D44385" w:rsidRPr="008E6081" w:rsidRDefault="00D90297">
      <w:pPr>
        <w:pStyle w:val="Aufzhlungszeichen"/>
        <w:spacing w:after="40"/>
        <w:ind w:left="312" w:hanging="159"/>
        <w:rPr>
          <w:lang w:val="de-DE"/>
        </w:rPr>
      </w:pPr>
      <w:r w:rsidRPr="008E6081">
        <w:rPr>
          <w:lang w:val="de-DE"/>
        </w:rPr>
        <w:t>Eingehende E-Mails werden zeitnah gesichtet und einer zuständigen Person zugeordnet.</w:t>
      </w:r>
    </w:p>
    <w:p w14:paraId="23332895" w14:textId="77777777" w:rsidR="00D44385" w:rsidRPr="008E6081" w:rsidRDefault="00D90297">
      <w:pPr>
        <w:pStyle w:val="Aufzhlungszeichen"/>
        <w:spacing w:after="40"/>
        <w:ind w:left="312" w:hanging="159"/>
        <w:rPr>
          <w:lang w:val="de-DE"/>
        </w:rPr>
      </w:pPr>
      <w:r w:rsidRPr="008E6081">
        <w:rPr>
          <w:lang w:val="de-DE"/>
        </w:rPr>
        <w:t>Die Bearbeitung allgemeiner Verwaltungsvorgänge erfolgt möglichst direkt aus dem Funktionspostfach. Dadurch bleiben Antworten und Bearbeitungsstände für das gesamte Team nachvollziehbar.</w:t>
      </w:r>
    </w:p>
    <w:p w14:paraId="7CA897FE" w14:textId="77777777" w:rsidR="00D44385" w:rsidRPr="008E6081" w:rsidRDefault="00D90297">
      <w:pPr>
        <w:pStyle w:val="Aufzhlungszeichen"/>
        <w:spacing w:after="40"/>
        <w:ind w:left="312" w:hanging="159"/>
        <w:rPr>
          <w:lang w:val="de-DE"/>
        </w:rPr>
      </w:pPr>
      <w:r w:rsidRPr="008E6081">
        <w:rPr>
          <w:lang w:val="de-DE"/>
        </w:rPr>
        <w:t>Nach Abschluss eines Vorgangs wird die E-Mail eindeutig als erledigt gekennzeichnet und aus dem Posteingang in den vorgesehenen Ablageordner verschoben.</w:t>
      </w:r>
    </w:p>
    <w:p w14:paraId="12A6107B" w14:textId="77777777" w:rsidR="00D44385" w:rsidRPr="008E6081" w:rsidRDefault="00D90297">
      <w:pPr>
        <w:pStyle w:val="berschrift1"/>
        <w:spacing w:before="180" w:after="100"/>
        <w:rPr>
          <w:lang w:val="de-DE"/>
        </w:rPr>
      </w:pPr>
      <w:r w:rsidRPr="008E6081">
        <w:rPr>
          <w:rFonts w:ascii="Arial" w:hAnsi="Arial"/>
          <w:color w:val="4E2B60"/>
          <w:sz w:val="30"/>
          <w:lang w:val="de-DE"/>
        </w:rPr>
        <w:t>2. Sortierung im Posteingang: Kategorien und Bearbeitungsstatus</w:t>
      </w:r>
    </w:p>
    <w:p w14:paraId="07D2F828" w14:textId="77777777" w:rsidR="00D44385" w:rsidRPr="008E6081" w:rsidRDefault="00D90297">
      <w:pPr>
        <w:spacing w:after="100" w:line="264" w:lineRule="auto"/>
        <w:rPr>
          <w:lang w:val="de-DE"/>
        </w:rPr>
      </w:pPr>
      <w:r w:rsidRPr="008E6081">
        <w:rPr>
          <w:lang w:val="de-DE"/>
        </w:rPr>
        <w:t>Für die tägliche Arbeit empfiehlt sich ein einheitliches System aus Outlook-Kategorien und Bearbeitungskennzeichnungen. Dabei sollte jede Kennzeichnung nur eine klar definierte Funktion erfüllen.</w:t>
      </w:r>
    </w:p>
    <w:p w14:paraId="4386D638" w14:textId="77777777" w:rsidR="00D44385" w:rsidRPr="008E6081" w:rsidRDefault="00D90297">
      <w:pPr>
        <w:keepNext/>
        <w:spacing w:before="140"/>
        <w:rPr>
          <w:lang w:val="de-DE"/>
        </w:rPr>
      </w:pPr>
      <w:r w:rsidRPr="008E6081">
        <w:rPr>
          <w:b/>
          <w:color w:val="4E2B60"/>
          <w:sz w:val="23"/>
          <w:lang w:val="de-DE"/>
        </w:rPr>
        <w:t>Personenbezogene Kategorien</w:t>
      </w:r>
    </w:p>
    <w:p w14:paraId="26D50B52" w14:textId="77777777" w:rsidR="00D44385" w:rsidRPr="008E6081" w:rsidRDefault="00D90297">
      <w:pPr>
        <w:spacing w:after="60" w:line="264" w:lineRule="auto"/>
        <w:rPr>
          <w:lang w:val="de-DE"/>
        </w:rPr>
      </w:pPr>
      <w:r w:rsidRPr="008E6081">
        <w:rPr>
          <w:lang w:val="de-DE"/>
        </w:rPr>
        <w:t>Jede Person im Verwaltungsteam erhält dauerhaft eine eigene Kategorie mit einer festgelegten Farbe. Neue E-Mails werden mit der Farbe der zuständigen Person gekennzeichnet. So ist bereits in der Postfachübersicht erkennbar, wer den Vorgang übernimmt.</w:t>
      </w:r>
    </w:p>
    <w:p w14:paraId="56200E9F" w14:textId="77D14BBC" w:rsidR="00D44385" w:rsidRPr="008E6081" w:rsidRDefault="008E6081">
      <w:pPr>
        <w:spacing w:before="40" w:after="40"/>
        <w:jc w:val="center"/>
        <w:rPr>
          <w:lang w:val="de-DE"/>
        </w:rPr>
      </w:pPr>
      <w:r w:rsidRPr="008E6081">
        <w:rPr>
          <w:noProof/>
          <w:lang w:val="de-DE"/>
        </w:rPr>
        <w:drawing>
          <wp:inline distT="0" distB="0" distL="0" distR="0" wp14:anchorId="33535762" wp14:editId="18F027EE">
            <wp:extent cx="6336030" cy="1156335"/>
            <wp:effectExtent l="0" t="0" r="762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6030" cy="1156335"/>
                    </a:xfrm>
                    <a:prstGeom prst="rect">
                      <a:avLst/>
                    </a:prstGeom>
                  </pic:spPr>
                </pic:pic>
              </a:graphicData>
            </a:graphic>
          </wp:inline>
        </w:drawing>
      </w:r>
    </w:p>
    <w:p w14:paraId="26DDCEB1" w14:textId="77777777" w:rsidR="00D44385" w:rsidRPr="008E6081" w:rsidRDefault="00D90297">
      <w:pPr>
        <w:spacing w:after="120"/>
        <w:jc w:val="center"/>
        <w:rPr>
          <w:lang w:val="de-DE"/>
        </w:rPr>
      </w:pPr>
      <w:r w:rsidRPr="008E6081">
        <w:rPr>
          <w:i/>
          <w:color w:val="666666"/>
          <w:sz w:val="17"/>
          <w:lang w:val="de-DE"/>
        </w:rPr>
        <w:t>Beispiel: Farbkategorien sind bereits in der Postfachübersicht sichtbar; beim Öffnen der E-Mail wird die Bezeichnung der Kategorie angezeigt.</w:t>
      </w:r>
    </w:p>
    <w:p w14:paraId="264F297B" w14:textId="77777777" w:rsidR="00D44385" w:rsidRPr="008E6081" w:rsidRDefault="00D90297">
      <w:pPr>
        <w:keepNext/>
        <w:spacing w:before="140"/>
        <w:rPr>
          <w:lang w:val="de-DE"/>
        </w:rPr>
      </w:pPr>
      <w:r w:rsidRPr="008E6081">
        <w:rPr>
          <w:b/>
          <w:color w:val="4E2B60"/>
          <w:sz w:val="23"/>
          <w:lang w:val="de-DE"/>
        </w:rPr>
        <w:t>Nachrichten für mehrere Teammitglieder</w:t>
      </w:r>
    </w:p>
    <w:p w14:paraId="45F70A9B" w14:textId="77777777" w:rsidR="00D44385" w:rsidRPr="008E6081" w:rsidRDefault="00D90297">
      <w:pPr>
        <w:spacing w:line="264" w:lineRule="auto"/>
        <w:rPr>
          <w:lang w:val="de-DE"/>
        </w:rPr>
      </w:pPr>
      <w:r w:rsidRPr="008E6081">
        <w:rPr>
          <w:lang w:val="de-DE"/>
        </w:rPr>
        <w:t>Betrifft eine E-Mail mehrere Personen, kann sie zunächst mit den Kategorien aller betroffenen Teammitglieder versehen werden. Nachdem eine Person die Nachricht gesichtet hat, entfernt sie ihre eigene Kategorie. Bei Vorgängen mit weiterem Bearbeitungsbedarf sollte zusätzlich eindeutig festgelegt werden, wer die Federführung übernimmt. So wird vermieden, dass Aufgaben doppelt oder gar nicht bearbeitet werden.</w:t>
      </w:r>
    </w:p>
    <w:p w14:paraId="315EBB9E" w14:textId="77777777" w:rsidR="00D44385" w:rsidRPr="008E6081" w:rsidRDefault="00D90297">
      <w:pPr>
        <w:keepNext/>
        <w:spacing w:before="140"/>
        <w:rPr>
          <w:lang w:val="de-DE"/>
        </w:rPr>
      </w:pPr>
      <w:r w:rsidRPr="008E6081">
        <w:rPr>
          <w:b/>
          <w:color w:val="4E2B60"/>
          <w:sz w:val="23"/>
          <w:lang w:val="de-DE"/>
        </w:rPr>
        <w:t>Bearbeitungsstatus mit Fähnchen und grünem Haken</w:t>
      </w:r>
    </w:p>
    <w:p w14:paraId="1A50780A" w14:textId="77777777" w:rsidR="00D44385" w:rsidRPr="008E6081" w:rsidRDefault="00D90297">
      <w:pPr>
        <w:spacing w:after="60" w:line="264" w:lineRule="auto"/>
        <w:rPr>
          <w:lang w:val="de-DE"/>
        </w:rPr>
      </w:pPr>
      <w:r w:rsidRPr="008E6081">
        <w:rPr>
          <w:lang w:val="de-DE"/>
        </w:rPr>
        <w:t>Die Kategorien zeigen die Zuständigkeit; Fähnchen und Haken zeigen dagegen den Bearbeitungsstatus. Eine noch offene Aufgabe kann mit der roten Fahne gekennzeichnet werden. Nach Abschluss wird die Kennzeichnung in einen grünen Haken geändert. Dadurch bleibt auf einen Blick erkennbar, welche Vorgänge noch offen und welche bereits erledigt sind.</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649"/>
        <w:gridCol w:w="4649"/>
      </w:tblGrid>
      <w:tr w:rsidR="00D44385" w:rsidRPr="008E6081" w14:paraId="558DB7A8" w14:textId="77777777">
        <w:trPr>
          <w:jc w:val="center"/>
        </w:trPr>
        <w:tc>
          <w:tcPr>
            <w:tcW w:w="4649" w:type="dxa"/>
            <w:tcMar>
              <w:top w:w="0" w:type="dxa"/>
              <w:left w:w="80" w:type="dxa"/>
              <w:bottom w:w="0" w:type="dxa"/>
              <w:right w:w="80" w:type="dxa"/>
            </w:tcMar>
          </w:tcPr>
          <w:p w14:paraId="1C19D0BB" w14:textId="77777777" w:rsidR="00D44385" w:rsidRPr="008E6081" w:rsidRDefault="00D90297">
            <w:pPr>
              <w:spacing w:after="0"/>
              <w:jc w:val="center"/>
              <w:rPr>
                <w:lang w:val="de-DE"/>
              </w:rPr>
            </w:pPr>
            <w:r w:rsidRPr="008E6081">
              <w:rPr>
                <w:noProof/>
                <w:lang w:val="de-DE"/>
              </w:rPr>
              <w:drawing>
                <wp:inline distT="0" distB="0" distL="0" distR="0" wp14:anchorId="17B971CD" wp14:editId="69D963A8">
                  <wp:extent cx="2770876" cy="601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2788527" cy="605815"/>
                          </a:xfrm>
                          <a:prstGeom prst="rect">
                            <a:avLst/>
                          </a:prstGeom>
                        </pic:spPr>
                      </pic:pic>
                    </a:graphicData>
                  </a:graphic>
                </wp:inline>
              </w:drawing>
            </w:r>
          </w:p>
        </w:tc>
        <w:tc>
          <w:tcPr>
            <w:tcW w:w="4649" w:type="dxa"/>
            <w:tcMar>
              <w:top w:w="0" w:type="dxa"/>
              <w:left w:w="80" w:type="dxa"/>
              <w:bottom w:w="0" w:type="dxa"/>
              <w:right w:w="80" w:type="dxa"/>
            </w:tcMar>
          </w:tcPr>
          <w:p w14:paraId="25695925" w14:textId="77777777" w:rsidR="00D44385" w:rsidRPr="008E6081" w:rsidRDefault="00D90297">
            <w:pPr>
              <w:spacing w:after="0"/>
              <w:jc w:val="center"/>
              <w:rPr>
                <w:lang w:val="de-DE"/>
              </w:rPr>
            </w:pPr>
            <w:r w:rsidRPr="008E6081">
              <w:rPr>
                <w:noProof/>
                <w:lang w:val="de-DE"/>
              </w:rPr>
              <w:drawing>
                <wp:inline distT="0" distB="0" distL="0" distR="0" wp14:anchorId="45ABBF42" wp14:editId="47B2E783">
                  <wp:extent cx="2891485" cy="601980"/>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2914722" cy="606818"/>
                          </a:xfrm>
                          <a:prstGeom prst="rect">
                            <a:avLst/>
                          </a:prstGeom>
                        </pic:spPr>
                      </pic:pic>
                    </a:graphicData>
                  </a:graphic>
                </wp:inline>
              </w:drawing>
            </w:r>
          </w:p>
        </w:tc>
      </w:tr>
    </w:tbl>
    <w:p w14:paraId="38CB925B" w14:textId="77777777" w:rsidR="00D44385" w:rsidRPr="008E6081" w:rsidRDefault="00D90297">
      <w:pPr>
        <w:spacing w:after="100"/>
        <w:jc w:val="center"/>
        <w:rPr>
          <w:i/>
          <w:color w:val="666666"/>
          <w:sz w:val="17"/>
          <w:lang w:val="de-DE"/>
        </w:rPr>
      </w:pPr>
      <w:r w:rsidRPr="008E6081">
        <w:rPr>
          <w:i/>
          <w:color w:val="666666"/>
          <w:sz w:val="17"/>
          <w:lang w:val="de-DE"/>
        </w:rPr>
        <w:t>Links: offene Aufgabe mit roter Fahne · Rechts: abgeschlossener Vorgang mit grünem Haken</w:t>
      </w:r>
    </w:p>
    <w:p w14:paraId="79456F38" w14:textId="77777777" w:rsidR="00BC1A55" w:rsidRPr="008E6081" w:rsidRDefault="00BC1A55">
      <w:pPr>
        <w:spacing w:after="100"/>
        <w:jc w:val="center"/>
        <w:rPr>
          <w:lang w:val="de-DE"/>
        </w:rPr>
      </w:pPr>
    </w:p>
    <w:tbl>
      <w:tblPr>
        <w:tblW w:w="0" w:type="auto"/>
        <w:jc w:val="center"/>
        <w:tblBorders>
          <w:top w:val="single" w:sz="10" w:space="0" w:color="B7B7B7"/>
          <w:left w:val="single" w:sz="10" w:space="0" w:color="B7B7B7"/>
          <w:bottom w:val="single" w:sz="10" w:space="0" w:color="B7B7B7"/>
          <w:right w:val="single" w:sz="10" w:space="0" w:color="B7B7B7"/>
          <w:insideH w:val="single" w:sz="10" w:space="0" w:color="B7B7B7"/>
          <w:insideV w:val="single" w:sz="10" w:space="0" w:color="B7B7B7"/>
        </w:tblBorders>
        <w:tblLook w:val="04A0" w:firstRow="1" w:lastRow="0" w:firstColumn="1" w:lastColumn="0" w:noHBand="0" w:noVBand="1"/>
      </w:tblPr>
      <w:tblGrid>
        <w:gridCol w:w="9952"/>
      </w:tblGrid>
      <w:tr w:rsidR="00D44385" w:rsidRPr="008E6081" w14:paraId="43FEE9A4" w14:textId="77777777">
        <w:trPr>
          <w:jc w:val="center"/>
        </w:trPr>
        <w:tc>
          <w:tcPr>
            <w:tcW w:w="9978" w:type="dxa"/>
            <w:shd w:val="clear" w:color="auto" w:fill="F7F7F7"/>
            <w:tcMar>
              <w:top w:w="120" w:type="dxa"/>
              <w:left w:w="160" w:type="dxa"/>
              <w:bottom w:w="120" w:type="dxa"/>
              <w:right w:w="160" w:type="dxa"/>
            </w:tcMar>
          </w:tcPr>
          <w:p w14:paraId="74BA7D3B" w14:textId="4F84BA85" w:rsidR="00D44385" w:rsidRPr="008E6081" w:rsidRDefault="00D90297">
            <w:pPr>
              <w:spacing w:after="40"/>
              <w:rPr>
                <w:lang w:val="de-DE"/>
              </w:rPr>
            </w:pPr>
            <w:r w:rsidRPr="008E6081">
              <w:rPr>
                <w:b/>
                <w:color w:val="4E2B60"/>
                <w:sz w:val="21"/>
                <w:lang w:val="de-DE"/>
              </w:rPr>
              <w:lastRenderedPageBreak/>
              <w:t>Merksatz</w:t>
            </w:r>
          </w:p>
          <w:p w14:paraId="316327E9" w14:textId="77777777" w:rsidR="00D44385" w:rsidRPr="008E6081" w:rsidRDefault="00D90297">
            <w:pPr>
              <w:spacing w:after="0"/>
              <w:rPr>
                <w:lang w:val="de-DE"/>
              </w:rPr>
            </w:pPr>
            <w:r w:rsidRPr="008E6081">
              <w:rPr>
                <w:lang w:val="de-DE"/>
              </w:rPr>
              <w:t>Kategorien = Zuständigkeit · Fähnchen/Haken = Bearbeitungsstatus · Ordner = Ablage</w:t>
            </w:r>
          </w:p>
        </w:tc>
      </w:tr>
    </w:tbl>
    <w:p w14:paraId="255603CF" w14:textId="17A6BE64" w:rsidR="00D44385" w:rsidRPr="008E6081" w:rsidRDefault="00D90297">
      <w:pPr>
        <w:pStyle w:val="berschrift1"/>
        <w:spacing w:before="180" w:after="100"/>
        <w:rPr>
          <w:lang w:val="de-DE"/>
        </w:rPr>
      </w:pPr>
      <w:r w:rsidRPr="008E6081">
        <w:rPr>
          <w:rFonts w:ascii="Arial" w:hAnsi="Arial"/>
          <w:color w:val="4E2B60"/>
          <w:sz w:val="30"/>
          <w:lang w:val="de-DE"/>
        </w:rPr>
        <w:t>2.1 Kategorien in Outlook anlegen und benennen</w:t>
      </w:r>
    </w:p>
    <w:p w14:paraId="6FDCDDC2" w14:textId="77777777" w:rsidR="00D44385" w:rsidRPr="008E6081" w:rsidRDefault="00D90297">
      <w:pPr>
        <w:spacing w:after="100" w:line="264" w:lineRule="auto"/>
        <w:rPr>
          <w:lang w:val="de-DE"/>
        </w:rPr>
      </w:pPr>
      <w:r w:rsidRPr="008E6081">
        <w:rPr>
          <w:lang w:val="de-DE"/>
        </w:rPr>
        <w:t>Die für das Verwaltungsteam benötigten Kategorien können direkt in Outlook angelegt, benannt und mit einer Farbe versehen werden. Die folgenden Screenshots zeigen den Ablauf Schritt für Schritt.</w:t>
      </w:r>
    </w:p>
    <w:p w14:paraId="07345936" w14:textId="77777777" w:rsidR="00D44385" w:rsidRPr="008E6081" w:rsidRDefault="00D90297">
      <w:pPr>
        <w:keepNext/>
        <w:spacing w:before="140"/>
        <w:rPr>
          <w:lang w:val="de-DE"/>
        </w:rPr>
      </w:pPr>
      <w:r w:rsidRPr="008E6081">
        <w:rPr>
          <w:b/>
          <w:color w:val="4E2B60"/>
          <w:sz w:val="23"/>
          <w:lang w:val="de-DE"/>
        </w:rPr>
        <w:t>Schritt 1: Menü „Kategorien“ öffnen</w:t>
      </w:r>
    </w:p>
    <w:p w14:paraId="7E4F184C" w14:textId="77777777" w:rsidR="00D44385" w:rsidRPr="008E6081" w:rsidRDefault="00D90297">
      <w:pPr>
        <w:spacing w:after="60" w:line="264" w:lineRule="auto"/>
        <w:rPr>
          <w:lang w:val="de-DE"/>
        </w:rPr>
      </w:pPr>
      <w:r w:rsidRPr="008E6081">
        <w:rPr>
          <w:lang w:val="de-DE"/>
        </w:rPr>
        <w:t>Im Outlook-</w:t>
      </w:r>
      <w:proofErr w:type="spellStart"/>
      <w:r w:rsidRPr="008E6081">
        <w:rPr>
          <w:lang w:val="de-DE"/>
        </w:rPr>
        <w:t>Menüband</w:t>
      </w:r>
      <w:proofErr w:type="spellEnd"/>
      <w:r w:rsidRPr="008E6081">
        <w:rPr>
          <w:lang w:val="de-DE"/>
        </w:rPr>
        <w:t xml:space="preserve"> auf „Kategorien“ bzw. „Kategorisieren“ klicken.</w:t>
      </w:r>
    </w:p>
    <w:p w14:paraId="3B6417D7" w14:textId="77777777" w:rsidR="00D44385" w:rsidRPr="008E6081" w:rsidRDefault="00D90297">
      <w:pPr>
        <w:spacing w:before="40" w:after="40"/>
        <w:jc w:val="center"/>
        <w:rPr>
          <w:lang w:val="de-DE"/>
        </w:rPr>
      </w:pPr>
      <w:r w:rsidRPr="008E6081">
        <w:rPr>
          <w:noProof/>
          <w:lang w:val="de-DE"/>
        </w:rPr>
        <w:drawing>
          <wp:inline distT="0" distB="0" distL="0" distR="0" wp14:anchorId="523390CA" wp14:editId="4C3F716C">
            <wp:extent cx="5937979" cy="63271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5967722" cy="635879"/>
                    </a:xfrm>
                    <a:prstGeom prst="rect">
                      <a:avLst/>
                    </a:prstGeom>
                  </pic:spPr>
                </pic:pic>
              </a:graphicData>
            </a:graphic>
          </wp:inline>
        </w:drawing>
      </w:r>
    </w:p>
    <w:tbl>
      <w:tblPr>
        <w:tblW w:w="0" w:type="auto"/>
        <w:jc w:val="center"/>
        <w:tblBorders>
          <w:top w:val="single" w:sz="5" w:space="0" w:color="D0C5D5"/>
          <w:left w:val="single" w:sz="5" w:space="0" w:color="D0C5D5"/>
          <w:bottom w:val="single" w:sz="5" w:space="0" w:color="D0C5D5"/>
          <w:right w:val="single" w:sz="5" w:space="0" w:color="D0C5D5"/>
          <w:insideH w:val="single" w:sz="5" w:space="0" w:color="E0E0E0"/>
          <w:insideV w:val="single" w:sz="5" w:space="0" w:color="E0E0E0"/>
        </w:tblBorders>
        <w:tblLayout w:type="fixed"/>
        <w:tblLook w:val="04A0" w:firstRow="1" w:lastRow="0" w:firstColumn="1" w:lastColumn="0" w:noHBand="0" w:noVBand="1"/>
      </w:tblPr>
      <w:tblGrid>
        <w:gridCol w:w="4706"/>
        <w:gridCol w:w="4706"/>
      </w:tblGrid>
      <w:tr w:rsidR="00D44385" w:rsidRPr="008E6081" w14:paraId="41A938B9" w14:textId="77777777">
        <w:trPr>
          <w:jc w:val="center"/>
        </w:trPr>
        <w:tc>
          <w:tcPr>
            <w:tcW w:w="4706" w:type="dxa"/>
            <w:tcMar>
              <w:top w:w="120" w:type="dxa"/>
              <w:left w:w="140" w:type="dxa"/>
              <w:bottom w:w="120" w:type="dxa"/>
              <w:right w:w="140" w:type="dxa"/>
            </w:tcMar>
          </w:tcPr>
          <w:p w14:paraId="09F3733E" w14:textId="77777777" w:rsidR="00D44385" w:rsidRPr="008E6081" w:rsidRDefault="00D90297">
            <w:pPr>
              <w:spacing w:after="60"/>
              <w:rPr>
                <w:lang w:val="de-DE"/>
              </w:rPr>
            </w:pPr>
            <w:r w:rsidRPr="008E6081">
              <w:rPr>
                <w:b/>
                <w:color w:val="4E2B60"/>
                <w:sz w:val="22"/>
                <w:lang w:val="de-DE"/>
              </w:rPr>
              <w:t>Schritt 2: „Alle Kategorien …“ auswählen</w:t>
            </w:r>
          </w:p>
          <w:p w14:paraId="5B98C6B9" w14:textId="77777777" w:rsidR="00D44385" w:rsidRPr="008E6081" w:rsidRDefault="00D90297">
            <w:pPr>
              <w:rPr>
                <w:lang w:val="de-DE"/>
              </w:rPr>
            </w:pPr>
            <w:r w:rsidRPr="008E6081">
              <w:rPr>
                <w:sz w:val="19"/>
                <w:lang w:val="de-DE"/>
              </w:rPr>
              <w:t>Im geöffneten Auswahlmenü den Punkt „Alle Kategorien …“ auswählen.</w:t>
            </w:r>
          </w:p>
          <w:p w14:paraId="0F0C7FB3" w14:textId="77777777" w:rsidR="00D44385" w:rsidRPr="008E6081" w:rsidRDefault="00D90297">
            <w:pPr>
              <w:spacing w:after="0"/>
              <w:jc w:val="center"/>
              <w:rPr>
                <w:lang w:val="de-DE"/>
              </w:rPr>
            </w:pPr>
            <w:r w:rsidRPr="008E6081">
              <w:rPr>
                <w:noProof/>
                <w:lang w:val="de-DE"/>
              </w:rPr>
              <w:drawing>
                <wp:inline distT="0" distB="0" distL="0" distR="0" wp14:anchorId="6BD532FF" wp14:editId="6D1260B0">
                  <wp:extent cx="1404000" cy="30050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1404000" cy="3005053"/>
                          </a:xfrm>
                          <a:prstGeom prst="rect">
                            <a:avLst/>
                          </a:prstGeom>
                        </pic:spPr>
                      </pic:pic>
                    </a:graphicData>
                  </a:graphic>
                </wp:inline>
              </w:drawing>
            </w:r>
          </w:p>
        </w:tc>
        <w:tc>
          <w:tcPr>
            <w:tcW w:w="4706" w:type="dxa"/>
            <w:tcMar>
              <w:top w:w="120" w:type="dxa"/>
              <w:left w:w="140" w:type="dxa"/>
              <w:bottom w:w="120" w:type="dxa"/>
              <w:right w:w="140" w:type="dxa"/>
            </w:tcMar>
          </w:tcPr>
          <w:p w14:paraId="6D8BBD5B" w14:textId="77777777" w:rsidR="00D44385" w:rsidRPr="008E6081" w:rsidRDefault="00D90297">
            <w:pPr>
              <w:spacing w:after="60"/>
              <w:rPr>
                <w:lang w:val="de-DE"/>
              </w:rPr>
            </w:pPr>
            <w:r w:rsidRPr="008E6081">
              <w:rPr>
                <w:b/>
                <w:color w:val="4E2B60"/>
                <w:sz w:val="22"/>
                <w:lang w:val="de-DE"/>
              </w:rPr>
              <w:t>Schritt 3: Kategorie erstellen oder umbenennen</w:t>
            </w:r>
          </w:p>
          <w:p w14:paraId="24EC4944" w14:textId="77777777" w:rsidR="00D44385" w:rsidRPr="008E6081" w:rsidRDefault="00D90297">
            <w:pPr>
              <w:rPr>
                <w:lang w:val="de-DE"/>
              </w:rPr>
            </w:pPr>
            <w:r w:rsidRPr="008E6081">
              <w:rPr>
                <w:sz w:val="19"/>
                <w:lang w:val="de-DE"/>
              </w:rPr>
              <w:t>Im Fenster „Farbkategorien“ kann eine neue Kategorie angelegt oder eine bestehende Kategorie umbenannt werden. Für jede Kategorie werden eine eindeutige Bezeichnung und eine feste Farbe vergeben.</w:t>
            </w:r>
          </w:p>
          <w:p w14:paraId="17C37D43" w14:textId="77777777" w:rsidR="00D44385" w:rsidRPr="008E6081" w:rsidRDefault="00D90297">
            <w:pPr>
              <w:spacing w:after="0"/>
              <w:jc w:val="center"/>
              <w:rPr>
                <w:lang w:val="de-DE"/>
              </w:rPr>
            </w:pPr>
            <w:r w:rsidRPr="008E6081">
              <w:rPr>
                <w:noProof/>
                <w:lang w:val="de-DE"/>
              </w:rPr>
              <w:drawing>
                <wp:inline distT="0" distB="0" distL="0" distR="0" wp14:anchorId="75142A1C" wp14:editId="21A05CD9">
                  <wp:extent cx="2592000" cy="19466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2592000" cy="1946602"/>
                          </a:xfrm>
                          <a:prstGeom prst="rect">
                            <a:avLst/>
                          </a:prstGeom>
                        </pic:spPr>
                      </pic:pic>
                    </a:graphicData>
                  </a:graphic>
                </wp:inline>
              </w:drawing>
            </w:r>
          </w:p>
        </w:tc>
      </w:tr>
    </w:tbl>
    <w:p w14:paraId="13F1F2B1" w14:textId="77777777" w:rsidR="00D44385" w:rsidRPr="008E6081" w:rsidRDefault="00D44385">
      <w:pPr>
        <w:spacing w:after="20"/>
        <w:rPr>
          <w:lang w:val="de-DE"/>
        </w:rPr>
      </w:pPr>
    </w:p>
    <w:tbl>
      <w:tblPr>
        <w:tblW w:w="0" w:type="auto"/>
        <w:jc w:val="center"/>
        <w:tblBorders>
          <w:top w:val="single" w:sz="10" w:space="0" w:color="D6B656"/>
          <w:left w:val="single" w:sz="10" w:space="0" w:color="D6B656"/>
          <w:bottom w:val="single" w:sz="10" w:space="0" w:color="D6B656"/>
          <w:right w:val="single" w:sz="10" w:space="0" w:color="D6B656"/>
          <w:insideH w:val="single" w:sz="10" w:space="0" w:color="D6B656"/>
          <w:insideV w:val="single" w:sz="10" w:space="0" w:color="D6B656"/>
        </w:tblBorders>
        <w:tblLook w:val="04A0" w:firstRow="1" w:lastRow="0" w:firstColumn="1" w:lastColumn="0" w:noHBand="0" w:noVBand="1"/>
      </w:tblPr>
      <w:tblGrid>
        <w:gridCol w:w="9952"/>
      </w:tblGrid>
      <w:tr w:rsidR="00D44385" w:rsidRPr="008E6081" w14:paraId="54D42784" w14:textId="77777777">
        <w:trPr>
          <w:jc w:val="center"/>
        </w:trPr>
        <w:tc>
          <w:tcPr>
            <w:tcW w:w="9978" w:type="dxa"/>
            <w:shd w:val="clear" w:color="auto" w:fill="FFFBEA"/>
            <w:tcMar>
              <w:top w:w="120" w:type="dxa"/>
              <w:left w:w="160" w:type="dxa"/>
              <w:bottom w:w="120" w:type="dxa"/>
              <w:right w:w="160" w:type="dxa"/>
            </w:tcMar>
          </w:tcPr>
          <w:p w14:paraId="43F82FD7" w14:textId="77777777" w:rsidR="00D44385" w:rsidRPr="008E6081" w:rsidRDefault="00D90297">
            <w:pPr>
              <w:spacing w:after="40"/>
              <w:rPr>
                <w:lang w:val="de-DE"/>
              </w:rPr>
            </w:pPr>
            <w:r w:rsidRPr="008E6081">
              <w:rPr>
                <w:b/>
                <w:color w:val="4E2B60"/>
                <w:sz w:val="21"/>
                <w:lang w:val="de-DE"/>
              </w:rPr>
              <w:t>Hinweis</w:t>
            </w:r>
          </w:p>
          <w:p w14:paraId="23502625" w14:textId="77777777" w:rsidR="00D44385" w:rsidRPr="008E6081" w:rsidRDefault="00D90297">
            <w:pPr>
              <w:spacing w:after="0"/>
              <w:rPr>
                <w:lang w:val="de-DE"/>
              </w:rPr>
            </w:pPr>
            <w:r w:rsidRPr="008E6081">
              <w:rPr>
                <w:lang w:val="de-DE"/>
              </w:rPr>
              <w:t>Die im Beispiel gezeigten Kategorien sind nicht personenbezogen. Im gemeinsamen Funktionspostfach sollten die Kategorien eindeutig den jeweiligen Teammitgliedern oder einer gemeinsam vereinbarten Funktion zugeordnet werden.</w:t>
            </w:r>
          </w:p>
        </w:tc>
      </w:tr>
    </w:tbl>
    <w:p w14:paraId="69FCD721" w14:textId="77777777" w:rsidR="00D44385" w:rsidRPr="008E6081" w:rsidRDefault="00D90297">
      <w:pPr>
        <w:rPr>
          <w:lang w:val="de-DE"/>
        </w:rPr>
      </w:pPr>
      <w:r w:rsidRPr="008E6081">
        <w:rPr>
          <w:lang w:val="de-DE"/>
        </w:rPr>
        <w:br w:type="page"/>
      </w:r>
    </w:p>
    <w:p w14:paraId="23D60793" w14:textId="77777777" w:rsidR="00D44385" w:rsidRPr="008E6081" w:rsidRDefault="00D90297">
      <w:pPr>
        <w:pStyle w:val="berschrift1"/>
        <w:spacing w:before="180" w:after="100"/>
        <w:rPr>
          <w:lang w:val="de-DE"/>
        </w:rPr>
      </w:pPr>
      <w:r w:rsidRPr="008E6081">
        <w:rPr>
          <w:rFonts w:ascii="Arial" w:hAnsi="Arial"/>
          <w:color w:val="4E2B60"/>
          <w:sz w:val="30"/>
          <w:lang w:val="de-DE"/>
        </w:rPr>
        <w:lastRenderedPageBreak/>
        <w:t>3. Einheitlicher Bearbeitungsablauf</w:t>
      </w:r>
    </w:p>
    <w:p w14:paraId="64ED4C2C" w14:textId="77777777" w:rsidR="00D44385" w:rsidRPr="008E6081" w:rsidRDefault="00D90297">
      <w:pPr>
        <w:spacing w:line="264" w:lineRule="auto"/>
        <w:rPr>
          <w:lang w:val="de-DE"/>
        </w:rPr>
      </w:pPr>
      <w:r w:rsidRPr="008E6081">
        <w:rPr>
          <w:lang w:val="de-DE"/>
        </w:rPr>
        <w:t>Für jede eingehende E-Mail sollte grundsätzlich derselbe Bearbeitungsablauf gelten:</w:t>
      </w:r>
    </w:p>
    <w:tbl>
      <w:tblPr>
        <w:tblW w:w="0" w:type="auto"/>
        <w:jc w:val="center"/>
        <w:tblBorders>
          <w:top w:val="single" w:sz="6" w:space="0" w:color="C4B2CB"/>
          <w:left w:val="single" w:sz="6" w:space="0" w:color="C4B2CB"/>
          <w:bottom w:val="single" w:sz="6" w:space="0" w:color="C4B2CB"/>
          <w:right w:val="single" w:sz="6" w:space="0" w:color="C4B2CB"/>
          <w:insideH w:val="single" w:sz="6" w:space="0" w:color="D6D6D6"/>
          <w:insideV w:val="single" w:sz="6" w:space="0" w:color="D6D6D6"/>
        </w:tblBorders>
        <w:tblLayout w:type="fixed"/>
        <w:tblLook w:val="04A0" w:firstRow="1" w:lastRow="0" w:firstColumn="1" w:lastColumn="0" w:noHBand="0" w:noVBand="1"/>
      </w:tblPr>
      <w:tblGrid>
        <w:gridCol w:w="680"/>
        <w:gridCol w:w="8788"/>
      </w:tblGrid>
      <w:tr w:rsidR="00D44385" w:rsidRPr="008E6081" w14:paraId="6E916D54" w14:textId="77777777">
        <w:trPr>
          <w:jc w:val="center"/>
        </w:trPr>
        <w:tc>
          <w:tcPr>
            <w:tcW w:w="680" w:type="dxa"/>
            <w:shd w:val="clear" w:color="auto" w:fill="623878"/>
            <w:tcMar>
              <w:top w:w="110" w:type="dxa"/>
              <w:left w:w="80" w:type="dxa"/>
              <w:bottom w:w="110" w:type="dxa"/>
              <w:right w:w="80" w:type="dxa"/>
            </w:tcMar>
          </w:tcPr>
          <w:p w14:paraId="7E900F8B" w14:textId="77777777" w:rsidR="00D44385" w:rsidRPr="008E6081" w:rsidRDefault="00D90297">
            <w:pPr>
              <w:spacing w:after="0"/>
              <w:jc w:val="center"/>
              <w:rPr>
                <w:lang w:val="de-DE"/>
              </w:rPr>
            </w:pPr>
            <w:r w:rsidRPr="008E6081">
              <w:rPr>
                <w:b/>
                <w:color w:val="FFFFFF"/>
                <w:sz w:val="24"/>
                <w:lang w:val="de-DE"/>
              </w:rPr>
              <w:t>1</w:t>
            </w:r>
          </w:p>
        </w:tc>
        <w:tc>
          <w:tcPr>
            <w:tcW w:w="8788" w:type="dxa"/>
            <w:tcMar>
              <w:top w:w="105" w:type="dxa"/>
              <w:left w:w="140" w:type="dxa"/>
              <w:bottom w:w="105" w:type="dxa"/>
              <w:right w:w="140" w:type="dxa"/>
            </w:tcMar>
          </w:tcPr>
          <w:p w14:paraId="77B14659" w14:textId="77777777" w:rsidR="00D44385" w:rsidRPr="008E6081" w:rsidRDefault="00D90297">
            <w:pPr>
              <w:spacing w:after="20"/>
              <w:rPr>
                <w:lang w:val="de-DE"/>
              </w:rPr>
            </w:pPr>
            <w:r w:rsidRPr="008E6081">
              <w:rPr>
                <w:b/>
                <w:color w:val="4E2B60"/>
                <w:sz w:val="21"/>
                <w:lang w:val="de-DE"/>
              </w:rPr>
              <w:t>E-Mail sichten</w:t>
            </w:r>
          </w:p>
          <w:p w14:paraId="66E4B21A" w14:textId="77777777" w:rsidR="00D44385" w:rsidRPr="008E6081" w:rsidRDefault="00D90297">
            <w:pPr>
              <w:spacing w:after="0" w:line="254" w:lineRule="auto"/>
              <w:rPr>
                <w:lang w:val="de-DE"/>
              </w:rPr>
            </w:pPr>
            <w:r w:rsidRPr="008E6081">
              <w:rPr>
                <w:lang w:val="de-DE"/>
              </w:rPr>
              <w:t>Prüfen, ob die Nachricht in den Zuständigkeitsbereich des Verwaltungsteams fällt. Ist dies nicht der Fall, wird sie zeitnah an die zuständige Stelle weitergeleitet, z. B. an die Pfarrperson.</w:t>
            </w:r>
          </w:p>
        </w:tc>
      </w:tr>
      <w:tr w:rsidR="00D44385" w:rsidRPr="008E6081" w14:paraId="71F51038" w14:textId="77777777">
        <w:trPr>
          <w:jc w:val="center"/>
        </w:trPr>
        <w:tc>
          <w:tcPr>
            <w:tcW w:w="680" w:type="dxa"/>
            <w:shd w:val="clear" w:color="auto" w:fill="623878"/>
            <w:tcMar>
              <w:top w:w="110" w:type="dxa"/>
              <w:left w:w="80" w:type="dxa"/>
              <w:bottom w:w="110" w:type="dxa"/>
              <w:right w:w="80" w:type="dxa"/>
            </w:tcMar>
          </w:tcPr>
          <w:p w14:paraId="5C1C2035" w14:textId="77777777" w:rsidR="00D44385" w:rsidRPr="008E6081" w:rsidRDefault="00D90297">
            <w:pPr>
              <w:spacing w:after="0"/>
              <w:jc w:val="center"/>
              <w:rPr>
                <w:lang w:val="de-DE"/>
              </w:rPr>
            </w:pPr>
            <w:r w:rsidRPr="008E6081">
              <w:rPr>
                <w:b/>
                <w:color w:val="FFFFFF"/>
                <w:sz w:val="24"/>
                <w:lang w:val="de-DE"/>
              </w:rPr>
              <w:t>2</w:t>
            </w:r>
          </w:p>
        </w:tc>
        <w:tc>
          <w:tcPr>
            <w:tcW w:w="8788" w:type="dxa"/>
            <w:tcMar>
              <w:top w:w="105" w:type="dxa"/>
              <w:left w:w="140" w:type="dxa"/>
              <w:bottom w:w="105" w:type="dxa"/>
              <w:right w:w="140" w:type="dxa"/>
            </w:tcMar>
          </w:tcPr>
          <w:p w14:paraId="3E0C7249" w14:textId="77777777" w:rsidR="00D44385" w:rsidRPr="008E6081" w:rsidRDefault="00D90297">
            <w:pPr>
              <w:spacing w:after="20"/>
              <w:rPr>
                <w:lang w:val="de-DE"/>
              </w:rPr>
            </w:pPr>
            <w:r w:rsidRPr="008E6081">
              <w:rPr>
                <w:b/>
                <w:color w:val="4E2B60"/>
                <w:sz w:val="21"/>
                <w:lang w:val="de-DE"/>
              </w:rPr>
              <w:t>Zuständigkeit festlegen</w:t>
            </w:r>
          </w:p>
          <w:p w14:paraId="7E893CF9" w14:textId="77777777" w:rsidR="00D44385" w:rsidRPr="008E6081" w:rsidRDefault="00D90297">
            <w:pPr>
              <w:spacing w:after="0" w:line="254" w:lineRule="auto"/>
              <w:rPr>
                <w:lang w:val="de-DE"/>
              </w:rPr>
            </w:pPr>
            <w:r w:rsidRPr="008E6081">
              <w:rPr>
                <w:lang w:val="de-DE"/>
              </w:rPr>
              <w:t>Die zuständige Person wird durch die vereinbarte Kategorie bzw. Farbe eindeutig gekennzeichnet.</w:t>
            </w:r>
          </w:p>
        </w:tc>
      </w:tr>
      <w:tr w:rsidR="00D44385" w:rsidRPr="008E6081" w14:paraId="2EDFC683" w14:textId="77777777">
        <w:trPr>
          <w:jc w:val="center"/>
        </w:trPr>
        <w:tc>
          <w:tcPr>
            <w:tcW w:w="680" w:type="dxa"/>
            <w:shd w:val="clear" w:color="auto" w:fill="623878"/>
            <w:tcMar>
              <w:top w:w="110" w:type="dxa"/>
              <w:left w:w="80" w:type="dxa"/>
              <w:bottom w:w="110" w:type="dxa"/>
              <w:right w:w="80" w:type="dxa"/>
            </w:tcMar>
          </w:tcPr>
          <w:p w14:paraId="617C269C" w14:textId="77777777" w:rsidR="00D44385" w:rsidRPr="008E6081" w:rsidRDefault="00D90297">
            <w:pPr>
              <w:spacing w:after="0"/>
              <w:jc w:val="center"/>
              <w:rPr>
                <w:lang w:val="de-DE"/>
              </w:rPr>
            </w:pPr>
            <w:r w:rsidRPr="008E6081">
              <w:rPr>
                <w:b/>
                <w:color w:val="FFFFFF"/>
                <w:sz w:val="24"/>
                <w:lang w:val="de-DE"/>
              </w:rPr>
              <w:t>3</w:t>
            </w:r>
          </w:p>
        </w:tc>
        <w:tc>
          <w:tcPr>
            <w:tcW w:w="8788" w:type="dxa"/>
            <w:tcMar>
              <w:top w:w="105" w:type="dxa"/>
              <w:left w:w="140" w:type="dxa"/>
              <w:bottom w:w="105" w:type="dxa"/>
              <w:right w:w="140" w:type="dxa"/>
            </w:tcMar>
          </w:tcPr>
          <w:p w14:paraId="72E208A8" w14:textId="77777777" w:rsidR="00D44385" w:rsidRPr="008E6081" w:rsidRDefault="00D90297">
            <w:pPr>
              <w:spacing w:after="20"/>
              <w:rPr>
                <w:lang w:val="de-DE"/>
              </w:rPr>
            </w:pPr>
            <w:r w:rsidRPr="008E6081">
              <w:rPr>
                <w:b/>
                <w:color w:val="4E2B60"/>
                <w:sz w:val="21"/>
                <w:lang w:val="de-DE"/>
              </w:rPr>
              <w:t>Vorgang bearbeiten</w:t>
            </w:r>
          </w:p>
          <w:p w14:paraId="64731B00" w14:textId="77777777" w:rsidR="00D44385" w:rsidRPr="008E6081" w:rsidRDefault="00D90297">
            <w:pPr>
              <w:spacing w:after="0" w:line="254" w:lineRule="auto"/>
              <w:rPr>
                <w:lang w:val="de-DE"/>
              </w:rPr>
            </w:pPr>
            <w:r w:rsidRPr="008E6081">
              <w:rPr>
                <w:lang w:val="de-DE"/>
              </w:rPr>
              <w:t>Die erforderliche Bearbeitung durchführen, Rückfragen veranlassen oder bei Bedarf eine Wiedervorlage setzen.</w:t>
            </w:r>
          </w:p>
        </w:tc>
      </w:tr>
      <w:tr w:rsidR="00D44385" w:rsidRPr="008E6081" w14:paraId="5108CD59" w14:textId="77777777">
        <w:trPr>
          <w:jc w:val="center"/>
        </w:trPr>
        <w:tc>
          <w:tcPr>
            <w:tcW w:w="680" w:type="dxa"/>
            <w:shd w:val="clear" w:color="auto" w:fill="623878"/>
            <w:tcMar>
              <w:top w:w="110" w:type="dxa"/>
              <w:left w:w="80" w:type="dxa"/>
              <w:bottom w:w="110" w:type="dxa"/>
              <w:right w:w="80" w:type="dxa"/>
            </w:tcMar>
          </w:tcPr>
          <w:p w14:paraId="59CF5E90" w14:textId="77777777" w:rsidR="00D44385" w:rsidRPr="008E6081" w:rsidRDefault="00D90297">
            <w:pPr>
              <w:spacing w:after="0"/>
              <w:jc w:val="center"/>
              <w:rPr>
                <w:lang w:val="de-DE"/>
              </w:rPr>
            </w:pPr>
            <w:r w:rsidRPr="008E6081">
              <w:rPr>
                <w:b/>
                <w:color w:val="FFFFFF"/>
                <w:sz w:val="24"/>
                <w:lang w:val="de-DE"/>
              </w:rPr>
              <w:t>4</w:t>
            </w:r>
          </w:p>
        </w:tc>
        <w:tc>
          <w:tcPr>
            <w:tcW w:w="8788" w:type="dxa"/>
            <w:tcMar>
              <w:top w:w="105" w:type="dxa"/>
              <w:left w:w="140" w:type="dxa"/>
              <w:bottom w:w="105" w:type="dxa"/>
              <w:right w:w="140" w:type="dxa"/>
            </w:tcMar>
          </w:tcPr>
          <w:p w14:paraId="036BA564" w14:textId="77777777" w:rsidR="00D44385" w:rsidRPr="008E6081" w:rsidRDefault="00D90297">
            <w:pPr>
              <w:spacing w:after="20"/>
              <w:rPr>
                <w:lang w:val="de-DE"/>
              </w:rPr>
            </w:pPr>
            <w:r w:rsidRPr="008E6081">
              <w:rPr>
                <w:b/>
                <w:color w:val="4E2B60"/>
                <w:sz w:val="21"/>
                <w:lang w:val="de-DE"/>
              </w:rPr>
              <w:t>Abschluss kennzeichnen</w:t>
            </w:r>
          </w:p>
          <w:p w14:paraId="53B49018" w14:textId="77777777" w:rsidR="00D44385" w:rsidRPr="008E6081" w:rsidRDefault="00D90297">
            <w:pPr>
              <w:spacing w:after="0" w:line="254" w:lineRule="auto"/>
              <w:rPr>
                <w:lang w:val="de-DE"/>
              </w:rPr>
            </w:pPr>
            <w:r w:rsidRPr="008E6081">
              <w:rPr>
                <w:lang w:val="de-DE"/>
              </w:rPr>
              <w:t>Nach Abschluss wird der Vorgang eindeutig als erledigt gekennzeichnet, z. B. mit dem grünen Haken.</w:t>
            </w:r>
          </w:p>
        </w:tc>
      </w:tr>
      <w:tr w:rsidR="00D44385" w:rsidRPr="008E6081" w14:paraId="0A9BD395" w14:textId="77777777">
        <w:trPr>
          <w:jc w:val="center"/>
        </w:trPr>
        <w:tc>
          <w:tcPr>
            <w:tcW w:w="680" w:type="dxa"/>
            <w:shd w:val="clear" w:color="auto" w:fill="623878"/>
            <w:tcMar>
              <w:top w:w="110" w:type="dxa"/>
              <w:left w:w="80" w:type="dxa"/>
              <w:bottom w:w="110" w:type="dxa"/>
              <w:right w:w="80" w:type="dxa"/>
            </w:tcMar>
          </w:tcPr>
          <w:p w14:paraId="59BAA6FF" w14:textId="77777777" w:rsidR="00D44385" w:rsidRPr="008E6081" w:rsidRDefault="00D90297">
            <w:pPr>
              <w:spacing w:after="0"/>
              <w:jc w:val="center"/>
              <w:rPr>
                <w:lang w:val="de-DE"/>
              </w:rPr>
            </w:pPr>
            <w:r w:rsidRPr="008E6081">
              <w:rPr>
                <w:b/>
                <w:color w:val="FFFFFF"/>
                <w:sz w:val="24"/>
                <w:lang w:val="de-DE"/>
              </w:rPr>
              <w:t>5</w:t>
            </w:r>
          </w:p>
        </w:tc>
        <w:tc>
          <w:tcPr>
            <w:tcW w:w="8788" w:type="dxa"/>
            <w:tcMar>
              <w:top w:w="105" w:type="dxa"/>
              <w:left w:w="140" w:type="dxa"/>
              <w:bottom w:w="105" w:type="dxa"/>
              <w:right w:w="140" w:type="dxa"/>
            </w:tcMar>
          </w:tcPr>
          <w:p w14:paraId="68A57268" w14:textId="77777777" w:rsidR="00D44385" w:rsidRPr="008E6081" w:rsidRDefault="00D90297">
            <w:pPr>
              <w:spacing w:after="20"/>
              <w:rPr>
                <w:lang w:val="de-DE"/>
              </w:rPr>
            </w:pPr>
            <w:r w:rsidRPr="008E6081">
              <w:rPr>
                <w:b/>
                <w:color w:val="4E2B60"/>
                <w:sz w:val="21"/>
                <w:lang w:val="de-DE"/>
              </w:rPr>
              <w:t>E-Mail ablegen</w:t>
            </w:r>
          </w:p>
          <w:p w14:paraId="2E22DD98" w14:textId="77777777" w:rsidR="00D44385" w:rsidRPr="008E6081" w:rsidRDefault="00D90297">
            <w:pPr>
              <w:spacing w:after="0" w:line="254" w:lineRule="auto"/>
              <w:rPr>
                <w:lang w:val="de-DE"/>
              </w:rPr>
            </w:pPr>
            <w:r w:rsidRPr="008E6081">
              <w:rPr>
                <w:lang w:val="de-DE"/>
              </w:rPr>
              <w:t>Die abgeschlossene Nachricht wird aus dem Posteingang in den passenden Ablageordner verschoben.</w:t>
            </w:r>
          </w:p>
        </w:tc>
      </w:tr>
    </w:tbl>
    <w:p w14:paraId="1710B9EC" w14:textId="77777777" w:rsidR="00D44385" w:rsidRPr="008E6081" w:rsidRDefault="00D90297">
      <w:pPr>
        <w:pStyle w:val="berschrift1"/>
        <w:spacing w:before="180" w:after="100"/>
        <w:rPr>
          <w:lang w:val="de-DE"/>
        </w:rPr>
      </w:pPr>
      <w:r w:rsidRPr="008E6081">
        <w:rPr>
          <w:rFonts w:ascii="Arial" w:hAnsi="Arial"/>
          <w:color w:val="4E2B60"/>
          <w:sz w:val="30"/>
          <w:lang w:val="de-DE"/>
        </w:rPr>
        <w:t>4. Ablage nach der Schriftgutordnung (SGO)</w:t>
      </w:r>
    </w:p>
    <w:p w14:paraId="77B94E73" w14:textId="692DC4D6" w:rsidR="00D44385" w:rsidRPr="008E6081" w:rsidRDefault="00D90297">
      <w:pPr>
        <w:spacing w:after="60" w:line="264" w:lineRule="auto"/>
        <w:rPr>
          <w:lang w:val="de-DE"/>
        </w:rPr>
      </w:pPr>
      <w:r w:rsidRPr="008E6081">
        <w:rPr>
          <w:lang w:val="de-DE"/>
        </w:rPr>
        <w:t>Die Ablage der E-Mails sollte sich an de</w:t>
      </w:r>
      <w:r w:rsidR="00952DF1">
        <w:rPr>
          <w:lang w:val="de-DE"/>
        </w:rPr>
        <w:t>m</w:t>
      </w:r>
      <w:r w:rsidRPr="008E6081">
        <w:rPr>
          <w:lang w:val="de-DE"/>
        </w:rPr>
        <w:t xml:space="preserve"> bestehenden Akten</w:t>
      </w:r>
      <w:r w:rsidR="008E6081">
        <w:rPr>
          <w:lang w:val="de-DE"/>
        </w:rPr>
        <w:t>plan</w:t>
      </w:r>
      <w:r w:rsidRPr="008E6081">
        <w:rPr>
          <w:lang w:val="de-DE"/>
        </w:rPr>
        <w:t xml:space="preserve"> der SGO orientieren. Dadurch können Nachrichten auch von Teammitgliedern zuverlässig wiedergefunden werden, die den jeweiligen Vorgang nicht selbst bearbeitet haben.</w:t>
      </w:r>
    </w:p>
    <w:p w14:paraId="1B038911" w14:textId="7425537C" w:rsidR="00D44385" w:rsidRPr="008E6081" w:rsidRDefault="00D90297">
      <w:pPr>
        <w:pStyle w:val="Aufzhlungszeichen"/>
        <w:spacing w:after="40"/>
        <w:ind w:left="312" w:hanging="159"/>
        <w:rPr>
          <w:lang w:val="de-DE"/>
        </w:rPr>
      </w:pPr>
      <w:r w:rsidRPr="008E6081">
        <w:rPr>
          <w:lang w:val="de-DE"/>
        </w:rPr>
        <w:t>Die Ordnerstruktur in Outlook sollte sich möglichst an der SGO orientieren.</w:t>
      </w:r>
    </w:p>
    <w:p w14:paraId="71AE0B3E" w14:textId="77777777" w:rsidR="00D44385" w:rsidRPr="008E6081" w:rsidRDefault="00D90297">
      <w:pPr>
        <w:pStyle w:val="Aufzhlungszeichen"/>
        <w:spacing w:after="40"/>
        <w:ind w:left="312" w:hanging="159"/>
        <w:rPr>
          <w:lang w:val="de-DE"/>
        </w:rPr>
      </w:pPr>
      <w:r w:rsidRPr="008E6081">
        <w:rPr>
          <w:lang w:val="de-DE"/>
        </w:rPr>
        <w:t>Die Ordner können nach Aktenzeichen benannt werden. Eine Untergliederung bis zur kleinsten Ebene ist nicht erforderlich; eine gröbere Struktur ist ausreichend, sofern diese im Verwaltungsteam einheitlich festgelegt und von allen genutzt wird.</w:t>
      </w:r>
    </w:p>
    <w:p w14:paraId="3CF240F6" w14:textId="622342C7" w:rsidR="00D44385" w:rsidRPr="008E6081" w:rsidRDefault="00D90297">
      <w:pPr>
        <w:pStyle w:val="Aufzhlungszeichen"/>
        <w:spacing w:after="40"/>
        <w:ind w:left="312" w:hanging="159"/>
        <w:rPr>
          <w:lang w:val="de-DE"/>
        </w:rPr>
      </w:pPr>
      <w:r w:rsidRPr="008E6081">
        <w:rPr>
          <w:lang w:val="de-DE"/>
        </w:rPr>
        <w:t xml:space="preserve">Abgeschlossene E-Mails werden aus dem Posteingang entfernt und in den vorgesehenen Ordner </w:t>
      </w:r>
      <w:r w:rsidRPr="00991404">
        <w:rPr>
          <w:color w:val="auto"/>
          <w:lang w:val="de-DE"/>
        </w:rPr>
        <w:t>verschoben</w:t>
      </w:r>
      <w:r w:rsidR="00952DF1" w:rsidRPr="00991404">
        <w:rPr>
          <w:color w:val="auto"/>
          <w:lang w:val="de-DE"/>
        </w:rPr>
        <w:t xml:space="preserve"> oder gelöscht, wenn sie keine weitere Relevanz haben</w:t>
      </w:r>
      <w:r w:rsidRPr="00991404">
        <w:rPr>
          <w:color w:val="auto"/>
          <w:lang w:val="de-DE"/>
        </w:rPr>
        <w:t>.</w:t>
      </w:r>
    </w:p>
    <w:p w14:paraId="34B2E586" w14:textId="77777777" w:rsidR="00D44385" w:rsidRPr="008E6081" w:rsidRDefault="00D90297">
      <w:pPr>
        <w:pStyle w:val="Aufzhlungszeichen"/>
        <w:spacing w:after="40"/>
        <w:ind w:left="312" w:hanging="159"/>
        <w:rPr>
          <w:lang w:val="de-DE"/>
        </w:rPr>
      </w:pPr>
      <w:r w:rsidRPr="008E6081">
        <w:rPr>
          <w:lang w:val="de-DE"/>
        </w:rPr>
        <w:t>Anhänge und entscheidungsrelevante Unterlagen werden zusätzlich in der maßgeblichen Akte bzw. an dem Ort gespeichert, an dem die vollständige Vorgangsdokumentation geführt wird.</w:t>
      </w:r>
    </w:p>
    <w:p w14:paraId="4E1C1C72" w14:textId="77777777" w:rsidR="00D44385" w:rsidRPr="008E6081" w:rsidRDefault="00D90297">
      <w:pPr>
        <w:pStyle w:val="berschrift1"/>
        <w:spacing w:before="180" w:after="100"/>
        <w:rPr>
          <w:lang w:val="de-DE"/>
        </w:rPr>
      </w:pPr>
      <w:r w:rsidRPr="008E6081">
        <w:rPr>
          <w:rFonts w:ascii="Arial" w:hAnsi="Arial"/>
          <w:color w:val="4E2B60"/>
          <w:sz w:val="30"/>
          <w:lang w:val="de-DE"/>
        </w:rPr>
        <w:t>5. Umgang mit bisherigen Kirchengemeinde-E-Mail-Adressen</w:t>
      </w:r>
    </w:p>
    <w:tbl>
      <w:tblPr>
        <w:tblW w:w="0" w:type="auto"/>
        <w:jc w:val="center"/>
        <w:tblBorders>
          <w:top w:val="single" w:sz="10" w:space="0" w:color="623878"/>
          <w:left w:val="single" w:sz="10" w:space="0" w:color="623878"/>
          <w:bottom w:val="single" w:sz="10" w:space="0" w:color="623878"/>
          <w:right w:val="single" w:sz="10" w:space="0" w:color="623878"/>
          <w:insideH w:val="single" w:sz="10" w:space="0" w:color="623878"/>
          <w:insideV w:val="single" w:sz="10" w:space="0" w:color="623878"/>
        </w:tblBorders>
        <w:tblLook w:val="04A0" w:firstRow="1" w:lastRow="0" w:firstColumn="1" w:lastColumn="0" w:noHBand="0" w:noVBand="1"/>
      </w:tblPr>
      <w:tblGrid>
        <w:gridCol w:w="9952"/>
      </w:tblGrid>
      <w:tr w:rsidR="00D44385" w:rsidRPr="008E6081" w14:paraId="04BFE8E3" w14:textId="77777777">
        <w:trPr>
          <w:jc w:val="center"/>
        </w:trPr>
        <w:tc>
          <w:tcPr>
            <w:tcW w:w="9978" w:type="dxa"/>
            <w:shd w:val="clear" w:color="auto" w:fill="F2ECF5"/>
            <w:tcMar>
              <w:top w:w="120" w:type="dxa"/>
              <w:left w:w="160" w:type="dxa"/>
              <w:bottom w:w="120" w:type="dxa"/>
              <w:right w:w="160" w:type="dxa"/>
            </w:tcMar>
          </w:tcPr>
          <w:p w14:paraId="277C284B" w14:textId="77777777" w:rsidR="00D44385" w:rsidRPr="008E6081" w:rsidRDefault="00D90297">
            <w:pPr>
              <w:spacing w:after="40"/>
              <w:rPr>
                <w:lang w:val="de-DE"/>
              </w:rPr>
            </w:pPr>
            <w:r w:rsidRPr="008E6081">
              <w:rPr>
                <w:b/>
                <w:color w:val="4E2B60"/>
                <w:sz w:val="21"/>
                <w:lang w:val="de-DE"/>
              </w:rPr>
              <w:t>Wichtig</w:t>
            </w:r>
          </w:p>
          <w:p w14:paraId="612287C8" w14:textId="77777777" w:rsidR="00D44385" w:rsidRPr="008E6081" w:rsidRDefault="00D90297">
            <w:pPr>
              <w:spacing w:after="0"/>
              <w:rPr>
                <w:lang w:val="de-DE"/>
              </w:rPr>
            </w:pPr>
            <w:r w:rsidRPr="008E6081">
              <w:rPr>
                <w:lang w:val="de-DE"/>
              </w:rPr>
              <w:t>Die bisherigen E-Mail-Adressen der Kirchengemeinden werden nicht automatisch deaktiviert. Daher empfiehlt es sich, für diese Adressen eine Weiterleitung auf das gemeinsame Funktionspostfach einzurichten.</w:t>
            </w:r>
          </w:p>
        </w:tc>
      </w:tr>
    </w:tbl>
    <w:p w14:paraId="51560F26" w14:textId="77777777" w:rsidR="00D44385" w:rsidRPr="008E6081" w:rsidRDefault="00D90297">
      <w:pPr>
        <w:pStyle w:val="Aufzhlungszeichen"/>
        <w:spacing w:after="40"/>
        <w:ind w:left="312" w:hanging="159"/>
        <w:rPr>
          <w:lang w:val="de-DE"/>
        </w:rPr>
      </w:pPr>
      <w:r w:rsidRPr="008E6081">
        <w:rPr>
          <w:lang w:val="de-DE"/>
        </w:rPr>
        <w:t>Dadurch laufen allgemeine Verwaltungsanfragen an einer zentralen Stelle zusammen und können einheitlich zugeordnet, bearbeitet und abgelegt werden.</w:t>
      </w:r>
    </w:p>
    <w:p w14:paraId="6D9017F8" w14:textId="77777777" w:rsidR="00D44385" w:rsidRPr="008E6081" w:rsidRDefault="00D90297">
      <w:pPr>
        <w:pStyle w:val="Aufzhlungszeichen"/>
        <w:spacing w:after="40"/>
        <w:ind w:left="312" w:hanging="159"/>
        <w:rPr>
          <w:lang w:val="de-DE"/>
        </w:rPr>
      </w:pPr>
      <w:r w:rsidRPr="008E6081">
        <w:rPr>
          <w:lang w:val="de-DE"/>
        </w:rPr>
        <w:t>Parallel sollten die Kontaktdaten auf Website, Briefvorlagen, Signaturen, Formularen und sonstigen Veröffentlichungen schrittweise auf die neue Funktionsadresse umgestellt werden.</w:t>
      </w:r>
    </w:p>
    <w:p w14:paraId="4BF465E7" w14:textId="77777777" w:rsidR="00D44385" w:rsidRPr="008E6081" w:rsidRDefault="00D90297">
      <w:pPr>
        <w:pStyle w:val="berschrift1"/>
        <w:spacing w:before="180" w:after="100"/>
        <w:rPr>
          <w:lang w:val="de-DE"/>
        </w:rPr>
      </w:pPr>
      <w:r w:rsidRPr="008E6081">
        <w:rPr>
          <w:rFonts w:ascii="Arial" w:hAnsi="Arial"/>
          <w:color w:val="4E2B60"/>
          <w:sz w:val="30"/>
          <w:lang w:val="de-DE"/>
        </w:rPr>
        <w:t>6. Regeln für ausgehende E-Mails</w:t>
      </w:r>
    </w:p>
    <w:p w14:paraId="79F61C77" w14:textId="77777777" w:rsidR="00D44385" w:rsidRPr="008E6081" w:rsidRDefault="00D90297">
      <w:pPr>
        <w:pStyle w:val="Aufzhlungszeichen"/>
        <w:spacing w:after="40"/>
        <w:ind w:left="312" w:hanging="159"/>
        <w:rPr>
          <w:lang w:val="de-DE"/>
        </w:rPr>
      </w:pPr>
      <w:r w:rsidRPr="008E6081">
        <w:rPr>
          <w:lang w:val="de-DE"/>
        </w:rPr>
        <w:t>Allgemeine Verwaltungsvorgänge sollten grundsätzlich aus dem Funktionspostfach beantwortet werden.</w:t>
      </w:r>
    </w:p>
    <w:p w14:paraId="71AF015B" w14:textId="77777777" w:rsidR="00D44385" w:rsidRPr="008E6081" w:rsidRDefault="00D90297">
      <w:pPr>
        <w:pStyle w:val="Aufzhlungszeichen"/>
        <w:spacing w:after="40"/>
        <w:ind w:left="312" w:hanging="159"/>
        <w:rPr>
          <w:lang w:val="de-DE"/>
        </w:rPr>
      </w:pPr>
      <w:r w:rsidRPr="008E6081">
        <w:rPr>
          <w:lang w:val="de-DE"/>
        </w:rPr>
        <w:t>Die Signatur sollte erkennen lassen, welche Person die Nachricht bearbeitet hat, damit Rückfragen eindeutig zugeordnet werden können.</w:t>
      </w:r>
    </w:p>
    <w:p w14:paraId="61D3F146" w14:textId="77777777" w:rsidR="00D44385" w:rsidRPr="008E6081" w:rsidRDefault="00D90297">
      <w:pPr>
        <w:pStyle w:val="Aufzhlungszeichen"/>
        <w:spacing w:after="40"/>
        <w:ind w:left="312" w:hanging="159"/>
        <w:rPr>
          <w:lang w:val="de-DE"/>
        </w:rPr>
      </w:pPr>
      <w:r w:rsidRPr="008E6081">
        <w:rPr>
          <w:lang w:val="de-DE"/>
        </w:rPr>
        <w:t>Bei Antworten innerhalb eines bestehenden Vorgangs sollte der bisherige Betreff beibehalten werden, um den Zusammenhang und die Suche im Postfach zu erleichtern.</w:t>
      </w:r>
    </w:p>
    <w:p w14:paraId="03775E39" w14:textId="77777777" w:rsidR="00D44385" w:rsidRPr="008E6081" w:rsidRDefault="00D90297">
      <w:pPr>
        <w:rPr>
          <w:lang w:val="de-DE"/>
        </w:rPr>
      </w:pPr>
      <w:r w:rsidRPr="008E6081">
        <w:rPr>
          <w:lang w:val="de-DE"/>
        </w:rPr>
        <w:br w:type="page"/>
      </w:r>
    </w:p>
    <w:p w14:paraId="15665640" w14:textId="77777777" w:rsidR="00D44385" w:rsidRPr="008E6081" w:rsidRDefault="00D90297">
      <w:pPr>
        <w:pStyle w:val="berschrift1"/>
        <w:spacing w:before="180" w:after="100"/>
        <w:rPr>
          <w:lang w:val="de-DE"/>
        </w:rPr>
      </w:pPr>
      <w:r w:rsidRPr="008E6081">
        <w:rPr>
          <w:rFonts w:ascii="Arial" w:hAnsi="Arial"/>
          <w:color w:val="4E2B60"/>
          <w:sz w:val="30"/>
          <w:lang w:val="de-DE"/>
        </w:rPr>
        <w:lastRenderedPageBreak/>
        <w:t>7. Was das Team zu Beginn verbindlich festlegen sollte</w:t>
      </w:r>
    </w:p>
    <w:p w14:paraId="120788CE" w14:textId="77777777" w:rsidR="00D44385" w:rsidRPr="008E6081" w:rsidRDefault="00D90297">
      <w:pPr>
        <w:spacing w:after="120" w:line="264" w:lineRule="auto"/>
        <w:rPr>
          <w:lang w:val="de-DE"/>
        </w:rPr>
      </w:pPr>
      <w:r w:rsidRPr="008E6081">
        <w:rPr>
          <w:lang w:val="de-DE"/>
        </w:rPr>
        <w:t>Die folgenden Punkte sollten zu Beginn gemeinsam abgestimmt und anschließend als verbindliche Arbeitsweise für das gesamte Verwaltungsteam festgehalten werden.</w:t>
      </w:r>
    </w:p>
    <w:p w14:paraId="4617F91D" w14:textId="77777777" w:rsidR="00D44385" w:rsidRPr="008E6081" w:rsidRDefault="00D90297">
      <w:pPr>
        <w:keepNext/>
        <w:spacing w:before="140"/>
        <w:rPr>
          <w:lang w:val="de-DE"/>
        </w:rPr>
      </w:pPr>
      <w:r w:rsidRPr="008E6081">
        <w:rPr>
          <w:b/>
          <w:color w:val="4E2B60"/>
          <w:sz w:val="23"/>
          <w:lang w:val="de-DE"/>
        </w:rPr>
        <w:t>Zuständigkeiten &amp; Posteingang</w:t>
      </w:r>
    </w:p>
    <w:tbl>
      <w:tblPr>
        <w:tblW w:w="0" w:type="auto"/>
        <w:jc w:val="center"/>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Look w:val="04A0" w:firstRow="1" w:lastRow="0" w:firstColumn="1" w:lastColumn="0" w:noHBand="0" w:noVBand="1"/>
      </w:tblPr>
      <w:tblGrid>
        <w:gridCol w:w="510"/>
        <w:gridCol w:w="8958"/>
      </w:tblGrid>
      <w:tr w:rsidR="00D44385" w:rsidRPr="008E6081" w14:paraId="4B5E9BEB" w14:textId="77777777">
        <w:trPr>
          <w:jc w:val="center"/>
        </w:trPr>
        <w:tc>
          <w:tcPr>
            <w:tcW w:w="510" w:type="dxa"/>
            <w:shd w:val="clear" w:color="auto" w:fill="F8F5FA"/>
            <w:tcMar>
              <w:top w:w="90" w:type="dxa"/>
              <w:left w:w="60" w:type="dxa"/>
              <w:bottom w:w="90" w:type="dxa"/>
              <w:right w:w="40" w:type="dxa"/>
            </w:tcMar>
          </w:tcPr>
          <w:p w14:paraId="20BCA2CE"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7FBE876F" w14:textId="77777777" w:rsidR="00D44385" w:rsidRPr="008E6081" w:rsidRDefault="00D90297">
            <w:pPr>
              <w:spacing w:after="0" w:line="254" w:lineRule="auto"/>
              <w:rPr>
                <w:lang w:val="de-DE"/>
              </w:rPr>
            </w:pPr>
            <w:r w:rsidRPr="008E6081">
              <w:rPr>
                <w:lang w:val="de-DE"/>
              </w:rPr>
              <w:t>Welche Person erhält welche Outlook-Kategorie/Farbe?</w:t>
            </w:r>
          </w:p>
        </w:tc>
      </w:tr>
      <w:tr w:rsidR="00D44385" w:rsidRPr="008E6081" w14:paraId="19CF7797" w14:textId="77777777">
        <w:trPr>
          <w:jc w:val="center"/>
        </w:trPr>
        <w:tc>
          <w:tcPr>
            <w:tcW w:w="510" w:type="dxa"/>
            <w:shd w:val="clear" w:color="auto" w:fill="F8F5FA"/>
            <w:tcMar>
              <w:top w:w="90" w:type="dxa"/>
              <w:left w:w="60" w:type="dxa"/>
              <w:bottom w:w="90" w:type="dxa"/>
              <w:right w:w="40" w:type="dxa"/>
            </w:tcMar>
          </w:tcPr>
          <w:p w14:paraId="0790641C"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495D4290" w14:textId="77777777" w:rsidR="00D44385" w:rsidRPr="008E6081" w:rsidRDefault="00D90297">
            <w:pPr>
              <w:spacing w:after="0" w:line="254" w:lineRule="auto"/>
              <w:rPr>
                <w:lang w:val="de-DE"/>
              </w:rPr>
            </w:pPr>
            <w:r w:rsidRPr="008E6081">
              <w:rPr>
                <w:lang w:val="de-DE"/>
              </w:rPr>
              <w:t>Wer übernimmt die tägliche Erst-Sichtung des Postfachs - dauerhaft oder im Wechsel?</w:t>
            </w:r>
          </w:p>
        </w:tc>
      </w:tr>
      <w:tr w:rsidR="00D44385" w:rsidRPr="008E6081" w14:paraId="34264622" w14:textId="77777777">
        <w:trPr>
          <w:jc w:val="center"/>
        </w:trPr>
        <w:tc>
          <w:tcPr>
            <w:tcW w:w="510" w:type="dxa"/>
            <w:shd w:val="clear" w:color="auto" w:fill="F8F5FA"/>
            <w:tcMar>
              <w:top w:w="90" w:type="dxa"/>
              <w:left w:w="60" w:type="dxa"/>
              <w:bottom w:w="90" w:type="dxa"/>
              <w:right w:w="40" w:type="dxa"/>
            </w:tcMar>
          </w:tcPr>
          <w:p w14:paraId="472B9733"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6E5453F8" w14:textId="77777777" w:rsidR="00D44385" w:rsidRPr="008E6081" w:rsidRDefault="00D90297">
            <w:pPr>
              <w:spacing w:after="0" w:line="254" w:lineRule="auto"/>
              <w:rPr>
                <w:lang w:val="de-DE"/>
              </w:rPr>
            </w:pPr>
            <w:r w:rsidRPr="008E6081">
              <w:rPr>
                <w:lang w:val="de-DE"/>
              </w:rPr>
              <w:t>Wie oft wird der Posteingang mindestens geprüft?</w:t>
            </w:r>
          </w:p>
        </w:tc>
      </w:tr>
      <w:tr w:rsidR="00D44385" w:rsidRPr="008E6081" w14:paraId="4D3657A7" w14:textId="77777777">
        <w:trPr>
          <w:jc w:val="center"/>
        </w:trPr>
        <w:tc>
          <w:tcPr>
            <w:tcW w:w="510" w:type="dxa"/>
            <w:shd w:val="clear" w:color="auto" w:fill="F8F5FA"/>
            <w:tcMar>
              <w:top w:w="90" w:type="dxa"/>
              <w:left w:w="60" w:type="dxa"/>
              <w:bottom w:w="90" w:type="dxa"/>
              <w:right w:w="40" w:type="dxa"/>
            </w:tcMar>
          </w:tcPr>
          <w:p w14:paraId="3B5D55B4"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06AD9B95" w14:textId="77777777" w:rsidR="00D44385" w:rsidRPr="008E6081" w:rsidRDefault="00D90297">
            <w:pPr>
              <w:spacing w:after="0" w:line="254" w:lineRule="auto"/>
              <w:rPr>
                <w:lang w:val="de-DE"/>
              </w:rPr>
            </w:pPr>
            <w:r w:rsidRPr="008E6081">
              <w:rPr>
                <w:lang w:val="de-DE"/>
              </w:rPr>
              <w:t>Werden neben den Personenfarben weitere Kategorien benötigt und wenn ja, wofür?</w:t>
            </w:r>
          </w:p>
        </w:tc>
      </w:tr>
      <w:tr w:rsidR="00D44385" w:rsidRPr="008E6081" w14:paraId="1FD36778" w14:textId="77777777">
        <w:trPr>
          <w:jc w:val="center"/>
        </w:trPr>
        <w:tc>
          <w:tcPr>
            <w:tcW w:w="510" w:type="dxa"/>
            <w:shd w:val="clear" w:color="auto" w:fill="F8F5FA"/>
            <w:tcMar>
              <w:top w:w="90" w:type="dxa"/>
              <w:left w:w="60" w:type="dxa"/>
              <w:bottom w:w="90" w:type="dxa"/>
              <w:right w:w="40" w:type="dxa"/>
            </w:tcMar>
          </w:tcPr>
          <w:p w14:paraId="38CD882C"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3FEDC60B" w14:textId="77777777" w:rsidR="00D44385" w:rsidRPr="008E6081" w:rsidRDefault="00D90297">
            <w:pPr>
              <w:spacing w:after="0" w:line="254" w:lineRule="auto"/>
              <w:rPr>
                <w:lang w:val="de-DE"/>
              </w:rPr>
            </w:pPr>
            <w:r w:rsidRPr="008E6081">
              <w:rPr>
                <w:lang w:val="de-DE"/>
              </w:rPr>
              <w:t>Wie werden laufende Vorgänge und Wiedervorlagen gekennzeichnet?</w:t>
            </w:r>
          </w:p>
        </w:tc>
      </w:tr>
    </w:tbl>
    <w:p w14:paraId="0C352769" w14:textId="77777777" w:rsidR="00D44385" w:rsidRPr="008E6081" w:rsidRDefault="00D44385">
      <w:pPr>
        <w:spacing w:after="20"/>
        <w:rPr>
          <w:lang w:val="de-DE"/>
        </w:rPr>
      </w:pPr>
    </w:p>
    <w:p w14:paraId="6E359F30" w14:textId="77777777" w:rsidR="00D44385" w:rsidRPr="008E6081" w:rsidRDefault="00D90297">
      <w:pPr>
        <w:keepNext/>
        <w:spacing w:before="140"/>
        <w:rPr>
          <w:lang w:val="de-DE"/>
        </w:rPr>
      </w:pPr>
      <w:r w:rsidRPr="008E6081">
        <w:rPr>
          <w:b/>
          <w:color w:val="4E2B60"/>
          <w:sz w:val="23"/>
          <w:lang w:val="de-DE"/>
        </w:rPr>
        <w:t>Ablage &amp; Prozesse</w:t>
      </w:r>
    </w:p>
    <w:tbl>
      <w:tblPr>
        <w:tblW w:w="0" w:type="auto"/>
        <w:jc w:val="center"/>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Look w:val="04A0" w:firstRow="1" w:lastRow="0" w:firstColumn="1" w:lastColumn="0" w:noHBand="0" w:noVBand="1"/>
      </w:tblPr>
      <w:tblGrid>
        <w:gridCol w:w="510"/>
        <w:gridCol w:w="8958"/>
      </w:tblGrid>
      <w:tr w:rsidR="00D44385" w:rsidRPr="008E6081" w14:paraId="0C4474F3" w14:textId="77777777">
        <w:trPr>
          <w:jc w:val="center"/>
        </w:trPr>
        <w:tc>
          <w:tcPr>
            <w:tcW w:w="510" w:type="dxa"/>
            <w:shd w:val="clear" w:color="auto" w:fill="F8F5FA"/>
            <w:tcMar>
              <w:top w:w="90" w:type="dxa"/>
              <w:left w:w="60" w:type="dxa"/>
              <w:bottom w:w="90" w:type="dxa"/>
              <w:right w:w="40" w:type="dxa"/>
            </w:tcMar>
          </w:tcPr>
          <w:p w14:paraId="1A28EF8C"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2F7A921F" w14:textId="77777777" w:rsidR="00D44385" w:rsidRPr="008E6081" w:rsidRDefault="00D90297">
            <w:pPr>
              <w:spacing w:after="0" w:line="254" w:lineRule="auto"/>
              <w:rPr>
                <w:lang w:val="de-DE"/>
              </w:rPr>
            </w:pPr>
            <w:r w:rsidRPr="008E6081">
              <w:rPr>
                <w:lang w:val="de-DE"/>
              </w:rPr>
              <w:t>Wer richtet die Ablage in Outlook nach der SGO ein?</w:t>
            </w:r>
          </w:p>
        </w:tc>
      </w:tr>
      <w:tr w:rsidR="00D44385" w:rsidRPr="008E6081" w14:paraId="5FDDF290" w14:textId="77777777">
        <w:trPr>
          <w:jc w:val="center"/>
        </w:trPr>
        <w:tc>
          <w:tcPr>
            <w:tcW w:w="510" w:type="dxa"/>
            <w:shd w:val="clear" w:color="auto" w:fill="F8F5FA"/>
            <w:tcMar>
              <w:top w:w="90" w:type="dxa"/>
              <w:left w:w="60" w:type="dxa"/>
              <w:bottom w:w="90" w:type="dxa"/>
              <w:right w:w="40" w:type="dxa"/>
            </w:tcMar>
          </w:tcPr>
          <w:p w14:paraId="39473EE8"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7D451FB2" w14:textId="77777777" w:rsidR="00D44385" w:rsidRPr="008E6081" w:rsidRDefault="00D90297">
            <w:pPr>
              <w:spacing w:after="0" w:line="254" w:lineRule="auto"/>
              <w:rPr>
                <w:lang w:val="de-DE"/>
              </w:rPr>
            </w:pPr>
            <w:r w:rsidRPr="008E6081">
              <w:rPr>
                <w:lang w:val="de-DE"/>
              </w:rPr>
              <w:t>Welche Ablagetiefe nach Aktenzeichen wird für das Team verbindlich festgelegt?</w:t>
            </w:r>
          </w:p>
        </w:tc>
      </w:tr>
      <w:tr w:rsidR="00D44385" w:rsidRPr="008E6081" w14:paraId="19E40C21" w14:textId="77777777">
        <w:trPr>
          <w:jc w:val="center"/>
        </w:trPr>
        <w:tc>
          <w:tcPr>
            <w:tcW w:w="510" w:type="dxa"/>
            <w:shd w:val="clear" w:color="auto" w:fill="F8F5FA"/>
            <w:tcMar>
              <w:top w:w="90" w:type="dxa"/>
              <w:left w:w="60" w:type="dxa"/>
              <w:bottom w:w="90" w:type="dxa"/>
              <w:right w:w="40" w:type="dxa"/>
            </w:tcMar>
          </w:tcPr>
          <w:p w14:paraId="60AF64BD"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43B88C1D" w14:textId="77777777" w:rsidR="00D44385" w:rsidRPr="008E6081" w:rsidRDefault="00D90297">
            <w:pPr>
              <w:spacing w:after="0" w:line="254" w:lineRule="auto"/>
              <w:rPr>
                <w:lang w:val="de-DE"/>
              </w:rPr>
            </w:pPr>
            <w:r w:rsidRPr="008E6081">
              <w:rPr>
                <w:lang w:val="de-DE"/>
              </w:rPr>
              <w:t>Wann gilt ein Vorgang als abgeschlossen und wird aus dem Posteingang verschoben?</w:t>
            </w:r>
          </w:p>
        </w:tc>
      </w:tr>
    </w:tbl>
    <w:p w14:paraId="5CB20E6D" w14:textId="77777777" w:rsidR="00D44385" w:rsidRPr="008E6081" w:rsidRDefault="00D44385">
      <w:pPr>
        <w:spacing w:after="20"/>
        <w:rPr>
          <w:lang w:val="de-DE"/>
        </w:rPr>
      </w:pPr>
    </w:p>
    <w:p w14:paraId="35E04D88" w14:textId="77777777" w:rsidR="00D44385" w:rsidRPr="008E6081" w:rsidRDefault="00D90297">
      <w:pPr>
        <w:keepNext/>
        <w:spacing w:before="140"/>
        <w:rPr>
          <w:lang w:val="de-DE"/>
        </w:rPr>
      </w:pPr>
      <w:r w:rsidRPr="008E6081">
        <w:rPr>
          <w:b/>
          <w:color w:val="4E2B60"/>
          <w:sz w:val="23"/>
          <w:lang w:val="de-DE"/>
        </w:rPr>
        <w:t>Technik &amp; Kommunikation</w:t>
      </w:r>
    </w:p>
    <w:tbl>
      <w:tblPr>
        <w:tblW w:w="0" w:type="auto"/>
        <w:jc w:val="center"/>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Look w:val="04A0" w:firstRow="1" w:lastRow="0" w:firstColumn="1" w:lastColumn="0" w:noHBand="0" w:noVBand="1"/>
      </w:tblPr>
      <w:tblGrid>
        <w:gridCol w:w="510"/>
        <w:gridCol w:w="8958"/>
      </w:tblGrid>
      <w:tr w:rsidR="00D44385" w:rsidRPr="008E6081" w14:paraId="794FECC2" w14:textId="77777777">
        <w:trPr>
          <w:jc w:val="center"/>
        </w:trPr>
        <w:tc>
          <w:tcPr>
            <w:tcW w:w="510" w:type="dxa"/>
            <w:shd w:val="clear" w:color="auto" w:fill="F8F5FA"/>
            <w:tcMar>
              <w:top w:w="90" w:type="dxa"/>
              <w:left w:w="60" w:type="dxa"/>
              <w:bottom w:w="90" w:type="dxa"/>
              <w:right w:w="40" w:type="dxa"/>
            </w:tcMar>
          </w:tcPr>
          <w:p w14:paraId="790B1D64"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3A736E01" w14:textId="77777777" w:rsidR="00D44385" w:rsidRPr="008E6081" w:rsidRDefault="00D90297">
            <w:pPr>
              <w:spacing w:after="0" w:line="254" w:lineRule="auto"/>
              <w:rPr>
                <w:lang w:val="de-DE"/>
              </w:rPr>
            </w:pPr>
            <w:r w:rsidRPr="008E6081">
              <w:rPr>
                <w:lang w:val="de-DE"/>
              </w:rPr>
              <w:t>Welche bisherigen E-Mail-Adressen werden auf das Funktionspostfach weitergeleitet?</w:t>
            </w:r>
          </w:p>
        </w:tc>
      </w:tr>
      <w:tr w:rsidR="00D44385" w:rsidRPr="008E6081" w14:paraId="4179BFDD" w14:textId="77777777">
        <w:trPr>
          <w:jc w:val="center"/>
        </w:trPr>
        <w:tc>
          <w:tcPr>
            <w:tcW w:w="510" w:type="dxa"/>
            <w:shd w:val="clear" w:color="auto" w:fill="F8F5FA"/>
            <w:tcMar>
              <w:top w:w="90" w:type="dxa"/>
              <w:left w:w="60" w:type="dxa"/>
              <w:bottom w:w="90" w:type="dxa"/>
              <w:right w:w="40" w:type="dxa"/>
            </w:tcMar>
          </w:tcPr>
          <w:p w14:paraId="54013AA8"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4E3424EF" w14:textId="77777777" w:rsidR="00D44385" w:rsidRPr="008E6081" w:rsidRDefault="00D90297">
            <w:pPr>
              <w:spacing w:after="0" w:line="254" w:lineRule="auto"/>
              <w:rPr>
                <w:lang w:val="de-DE"/>
              </w:rPr>
            </w:pPr>
            <w:r w:rsidRPr="008E6081">
              <w:rPr>
                <w:lang w:val="de-DE"/>
              </w:rPr>
              <w:t>Welche einheitliche Signatur wird für das Funktionspostfach verwendet und wer richtet diese ein?</w:t>
            </w:r>
          </w:p>
        </w:tc>
      </w:tr>
      <w:tr w:rsidR="00D44385" w:rsidRPr="008E6081" w14:paraId="0D65C83E" w14:textId="77777777">
        <w:trPr>
          <w:jc w:val="center"/>
        </w:trPr>
        <w:tc>
          <w:tcPr>
            <w:tcW w:w="510" w:type="dxa"/>
            <w:shd w:val="clear" w:color="auto" w:fill="F8F5FA"/>
            <w:tcMar>
              <w:top w:w="90" w:type="dxa"/>
              <w:left w:w="60" w:type="dxa"/>
              <w:bottom w:w="90" w:type="dxa"/>
              <w:right w:w="40" w:type="dxa"/>
            </w:tcMar>
          </w:tcPr>
          <w:p w14:paraId="76C24F5B" w14:textId="77777777" w:rsidR="00D44385" w:rsidRPr="008E6081" w:rsidRDefault="00D90297">
            <w:pPr>
              <w:spacing w:after="0"/>
              <w:jc w:val="center"/>
              <w:rPr>
                <w:lang w:val="de-DE"/>
              </w:rPr>
            </w:pPr>
            <w:r w:rsidRPr="008E6081">
              <w:rPr>
                <w:color w:val="4E2B60"/>
                <w:sz w:val="24"/>
                <w:lang w:val="de-DE"/>
              </w:rPr>
              <w:t>□</w:t>
            </w:r>
          </w:p>
        </w:tc>
        <w:tc>
          <w:tcPr>
            <w:tcW w:w="8958" w:type="dxa"/>
            <w:tcMar>
              <w:top w:w="90" w:type="dxa"/>
              <w:left w:w="90" w:type="dxa"/>
              <w:bottom w:w="90" w:type="dxa"/>
              <w:right w:w="90" w:type="dxa"/>
            </w:tcMar>
          </w:tcPr>
          <w:p w14:paraId="176B609B" w14:textId="77777777" w:rsidR="00D44385" w:rsidRPr="008E6081" w:rsidRDefault="00D90297">
            <w:pPr>
              <w:spacing w:after="0" w:line="254" w:lineRule="auto"/>
              <w:rPr>
                <w:lang w:val="de-DE"/>
              </w:rPr>
            </w:pPr>
            <w:r w:rsidRPr="008E6081">
              <w:rPr>
                <w:lang w:val="de-DE"/>
              </w:rPr>
              <w:t>Welche Stellen müssen über die neue Funktionsadresse informiert werden?</w:t>
            </w:r>
          </w:p>
        </w:tc>
      </w:tr>
    </w:tbl>
    <w:p w14:paraId="14BFB344" w14:textId="77777777" w:rsidR="00D44385" w:rsidRPr="008E6081" w:rsidRDefault="00D44385">
      <w:pPr>
        <w:spacing w:after="20"/>
        <w:rPr>
          <w:lang w:val="de-DE"/>
        </w:rPr>
      </w:pPr>
    </w:p>
    <w:tbl>
      <w:tblPr>
        <w:tblW w:w="0" w:type="auto"/>
        <w:jc w:val="center"/>
        <w:tblBorders>
          <w:top w:val="single" w:sz="10" w:space="0" w:color="623878"/>
          <w:left w:val="single" w:sz="10" w:space="0" w:color="623878"/>
          <w:bottom w:val="single" w:sz="10" w:space="0" w:color="623878"/>
          <w:right w:val="single" w:sz="10" w:space="0" w:color="623878"/>
          <w:insideH w:val="single" w:sz="10" w:space="0" w:color="623878"/>
          <w:insideV w:val="single" w:sz="10" w:space="0" w:color="623878"/>
        </w:tblBorders>
        <w:tblLook w:val="04A0" w:firstRow="1" w:lastRow="0" w:firstColumn="1" w:lastColumn="0" w:noHBand="0" w:noVBand="1"/>
      </w:tblPr>
      <w:tblGrid>
        <w:gridCol w:w="9952"/>
      </w:tblGrid>
      <w:tr w:rsidR="00D44385" w:rsidRPr="008E6081" w14:paraId="115EED7E" w14:textId="77777777">
        <w:trPr>
          <w:jc w:val="center"/>
        </w:trPr>
        <w:tc>
          <w:tcPr>
            <w:tcW w:w="9978" w:type="dxa"/>
            <w:shd w:val="clear" w:color="auto" w:fill="F2ECF5"/>
            <w:tcMar>
              <w:top w:w="120" w:type="dxa"/>
              <w:left w:w="160" w:type="dxa"/>
              <w:bottom w:w="120" w:type="dxa"/>
              <w:right w:w="160" w:type="dxa"/>
            </w:tcMar>
          </w:tcPr>
          <w:p w14:paraId="194CE8C9" w14:textId="77777777" w:rsidR="00D44385" w:rsidRPr="008E6081" w:rsidRDefault="00D90297">
            <w:pPr>
              <w:spacing w:after="40"/>
              <w:rPr>
                <w:lang w:val="de-DE"/>
              </w:rPr>
            </w:pPr>
            <w:r w:rsidRPr="008E6081">
              <w:rPr>
                <w:b/>
                <w:color w:val="4E2B60"/>
                <w:sz w:val="21"/>
                <w:lang w:val="de-DE"/>
              </w:rPr>
              <w:t>Empfehlung für den Start</w:t>
            </w:r>
          </w:p>
          <w:p w14:paraId="368B1986" w14:textId="77777777" w:rsidR="00D44385" w:rsidRPr="008E6081" w:rsidRDefault="00D90297">
            <w:pPr>
              <w:spacing w:after="0"/>
              <w:rPr>
                <w:lang w:val="de-DE"/>
              </w:rPr>
            </w:pPr>
            <w:r w:rsidRPr="008E6081">
              <w:rPr>
                <w:lang w:val="de-DE"/>
              </w:rPr>
              <w:t>Die vereinbarten Regeln sollten nach einer ersten Erprobungsphase gemeinsam überprüft werden. Dabei kann das Team bewerten, welche Kategorien und Ordner sich bewährt haben, wo Doppelbearbeitungen entstehen und an welchen Stellen die Arbeitsweise angepasst werden sollte.</w:t>
            </w:r>
          </w:p>
        </w:tc>
      </w:tr>
    </w:tbl>
    <w:p w14:paraId="01C9BD04" w14:textId="77777777" w:rsidR="00D90297" w:rsidRPr="008E6081" w:rsidRDefault="00D90297">
      <w:pPr>
        <w:rPr>
          <w:lang w:val="de-DE"/>
        </w:rPr>
      </w:pPr>
    </w:p>
    <w:sectPr w:rsidR="00D90297" w:rsidRPr="008E6081" w:rsidSect="00034616">
      <w:headerReference w:type="default" r:id="rId14"/>
      <w:footerReference w:type="default" r:id="rId15"/>
      <w:pgSz w:w="11906" w:h="16838"/>
      <w:pgMar w:top="879" w:right="964" w:bottom="879" w:left="964" w:header="397"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F808" w14:textId="77777777" w:rsidR="00D90297" w:rsidRDefault="00D90297">
      <w:pPr>
        <w:spacing w:after="0" w:line="240" w:lineRule="auto"/>
      </w:pPr>
      <w:r>
        <w:separator/>
      </w:r>
    </w:p>
  </w:endnote>
  <w:endnote w:type="continuationSeparator" w:id="0">
    <w:p w14:paraId="74A2C534" w14:textId="77777777" w:rsidR="00D90297" w:rsidRDefault="00D90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4AB0" w14:textId="77777777" w:rsidR="00911A2D" w:rsidRDefault="00911A2D"/>
  <w:tbl>
    <w:tblPr>
      <w:tblW w:w="0" w:type="auto"/>
      <w:jc w:val="center"/>
      <w:tblLook w:val="04A0" w:firstRow="1" w:lastRow="0" w:firstColumn="1" w:lastColumn="0" w:noHBand="0" w:noVBand="1"/>
    </w:tblPr>
    <w:tblGrid>
      <w:gridCol w:w="4989"/>
      <w:gridCol w:w="4989"/>
    </w:tblGrid>
    <w:tr w:rsidR="00D44385" w:rsidRPr="00D819A6" w14:paraId="079CE40F" w14:textId="77777777">
      <w:trPr>
        <w:jc w:val="center"/>
      </w:trPr>
      <w:tc>
        <w:tcPr>
          <w:tcW w:w="4989" w:type="dxa"/>
          <w:tcMar>
            <w:top w:w="0" w:type="dxa"/>
            <w:left w:w="0" w:type="dxa"/>
            <w:bottom w:w="0" w:type="dxa"/>
            <w:right w:w="0" w:type="dxa"/>
          </w:tcMar>
        </w:tcPr>
        <w:p w14:paraId="1D910FBB" w14:textId="33CB36EF" w:rsidR="00D44385" w:rsidRPr="00D819A6" w:rsidRDefault="00D44385">
          <w:pPr>
            <w:spacing w:after="0"/>
            <w:rPr>
              <w:lang w:val="de-DE"/>
            </w:rPr>
          </w:pPr>
        </w:p>
      </w:tc>
      <w:tc>
        <w:tcPr>
          <w:tcW w:w="4989" w:type="dxa"/>
          <w:tcMar>
            <w:top w:w="0" w:type="dxa"/>
            <w:left w:w="0" w:type="dxa"/>
            <w:bottom w:w="0" w:type="dxa"/>
            <w:right w:w="0" w:type="dxa"/>
          </w:tcMar>
        </w:tcPr>
        <w:p w14:paraId="61154249" w14:textId="77777777" w:rsidR="00D44385" w:rsidRPr="00D819A6" w:rsidRDefault="00D90297">
          <w:pPr>
            <w:spacing w:after="0"/>
            <w:jc w:val="right"/>
            <w:rPr>
              <w:lang w:val="de-DE"/>
            </w:rPr>
          </w:pPr>
          <w:r w:rsidRPr="00D819A6">
            <w:rPr>
              <w:color w:val="888888"/>
              <w:sz w:val="16"/>
              <w:lang w:val="de-DE"/>
            </w:rPr>
            <w:t xml:space="preserve">Seite </w:t>
          </w:r>
          <w:r w:rsidRPr="00D819A6">
            <w:rPr>
              <w:color w:val="888888"/>
              <w:sz w:val="16"/>
              <w:lang w:val="de-DE"/>
            </w:rPr>
            <w:fldChar w:fldCharType="begin"/>
          </w:r>
          <w:r w:rsidRPr="00D819A6">
            <w:rPr>
              <w:color w:val="888888"/>
              <w:sz w:val="16"/>
              <w:lang w:val="de-DE"/>
            </w:rPr>
            <w:instrText>PAGE</w:instrText>
          </w:r>
          <w:r w:rsidRPr="00D819A6">
            <w:rPr>
              <w:color w:val="888888"/>
              <w:sz w:val="16"/>
              <w:lang w:val="de-DE"/>
            </w:rPr>
            <w:fldChar w:fldCharType="separate"/>
          </w:r>
          <w:r w:rsidR="00BC1A55" w:rsidRPr="00D819A6">
            <w:rPr>
              <w:noProof/>
              <w:color w:val="888888"/>
              <w:sz w:val="16"/>
              <w:lang w:val="de-DE"/>
            </w:rPr>
            <w:t>1</w:t>
          </w:r>
          <w:r w:rsidRPr="00D819A6">
            <w:rPr>
              <w:color w:val="888888"/>
              <w:sz w:val="16"/>
              <w:lang w:val="de-DE"/>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FCA74" w14:textId="77777777" w:rsidR="00D90297" w:rsidRDefault="00D90297">
      <w:pPr>
        <w:spacing w:after="0" w:line="240" w:lineRule="auto"/>
      </w:pPr>
      <w:r>
        <w:separator/>
      </w:r>
    </w:p>
  </w:footnote>
  <w:footnote w:type="continuationSeparator" w:id="0">
    <w:p w14:paraId="412A1769" w14:textId="77777777" w:rsidR="00D90297" w:rsidRDefault="00D90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326"/>
      <w:gridCol w:w="3326"/>
      <w:gridCol w:w="3326"/>
    </w:tblGrid>
    <w:tr w:rsidR="00D44385" w:rsidRPr="008E6081" w14:paraId="06B2D27E" w14:textId="77777777">
      <w:trPr>
        <w:jc w:val="center"/>
      </w:trPr>
      <w:tc>
        <w:tcPr>
          <w:tcW w:w="3326" w:type="dxa"/>
          <w:tcMar>
            <w:top w:w="0" w:type="dxa"/>
            <w:left w:w="0" w:type="dxa"/>
            <w:bottom w:w="0" w:type="dxa"/>
            <w:right w:w="0" w:type="dxa"/>
          </w:tcMar>
        </w:tcPr>
        <w:p w14:paraId="3DCAC6D5" w14:textId="75E7DEC7" w:rsidR="00D44385" w:rsidRPr="008E6081" w:rsidRDefault="00D90297">
          <w:pPr>
            <w:spacing w:after="0"/>
            <w:rPr>
              <w:lang w:val="de-DE"/>
            </w:rPr>
          </w:pPr>
          <w:r w:rsidRPr="008E6081">
            <w:rPr>
              <w:color w:val="555555"/>
              <w:sz w:val="16"/>
              <w:lang w:val="de-DE"/>
            </w:rPr>
            <w:t xml:space="preserve">Projektfachberatung </w:t>
          </w:r>
          <w:r w:rsidR="007B6456" w:rsidRPr="008E6081">
            <w:rPr>
              <w:color w:val="555555"/>
              <w:sz w:val="16"/>
              <w:lang w:val="de-DE"/>
            </w:rPr>
            <w:br/>
          </w:r>
          <w:r w:rsidRPr="008E6081">
            <w:rPr>
              <w:color w:val="555555"/>
              <w:sz w:val="16"/>
              <w:lang w:val="de-DE"/>
            </w:rPr>
            <w:t>Annerose Petry &amp; Larissa Kreuzer</w:t>
          </w:r>
        </w:p>
      </w:tc>
      <w:tc>
        <w:tcPr>
          <w:tcW w:w="3326" w:type="dxa"/>
          <w:tcMar>
            <w:top w:w="0" w:type="dxa"/>
            <w:left w:w="0" w:type="dxa"/>
            <w:bottom w:w="0" w:type="dxa"/>
            <w:right w:w="0" w:type="dxa"/>
          </w:tcMar>
        </w:tcPr>
        <w:p w14:paraId="273AC07B" w14:textId="77777777" w:rsidR="00D44385" w:rsidRPr="008E6081" w:rsidRDefault="00D90297">
          <w:pPr>
            <w:spacing w:after="0"/>
            <w:jc w:val="center"/>
            <w:rPr>
              <w:lang w:val="de-DE"/>
            </w:rPr>
          </w:pPr>
          <w:r w:rsidRPr="008E6081">
            <w:rPr>
              <w:color w:val="555555"/>
              <w:sz w:val="16"/>
              <w:lang w:val="de-DE"/>
            </w:rPr>
            <w:t>Regionalbüro Vernetzte Beratung ekhn2030</w:t>
          </w:r>
        </w:p>
      </w:tc>
      <w:tc>
        <w:tcPr>
          <w:tcW w:w="3326" w:type="dxa"/>
          <w:tcMar>
            <w:top w:w="0" w:type="dxa"/>
            <w:left w:w="0" w:type="dxa"/>
            <w:bottom w:w="0" w:type="dxa"/>
            <w:right w:w="0" w:type="dxa"/>
          </w:tcMar>
        </w:tcPr>
        <w:p w14:paraId="13F70621" w14:textId="77777777" w:rsidR="00D44385" w:rsidRPr="008E6081" w:rsidRDefault="00D90297">
          <w:pPr>
            <w:spacing w:after="0"/>
            <w:jc w:val="right"/>
            <w:rPr>
              <w:lang w:val="de-DE"/>
            </w:rPr>
          </w:pPr>
          <w:r w:rsidRPr="008E6081">
            <w:rPr>
              <w:color w:val="555555"/>
              <w:sz w:val="16"/>
              <w:lang w:val="de-DE"/>
            </w:rPr>
            <w:t>Stand: 19.08.2026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760492389">
    <w:abstractNumId w:val="8"/>
  </w:num>
  <w:num w:numId="2" w16cid:durableId="665596140">
    <w:abstractNumId w:val="6"/>
  </w:num>
  <w:num w:numId="3" w16cid:durableId="322511416">
    <w:abstractNumId w:val="5"/>
  </w:num>
  <w:num w:numId="4" w16cid:durableId="657853691">
    <w:abstractNumId w:val="4"/>
  </w:num>
  <w:num w:numId="5" w16cid:durableId="1513253163">
    <w:abstractNumId w:val="7"/>
  </w:num>
  <w:num w:numId="6" w16cid:durableId="1122072922">
    <w:abstractNumId w:val="3"/>
  </w:num>
  <w:num w:numId="7" w16cid:durableId="468481591">
    <w:abstractNumId w:val="2"/>
  </w:num>
  <w:num w:numId="8" w16cid:durableId="2072458520">
    <w:abstractNumId w:val="1"/>
  </w:num>
  <w:num w:numId="9" w16cid:durableId="44724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26A1"/>
    <w:rsid w:val="00326F90"/>
    <w:rsid w:val="007A2BD1"/>
    <w:rsid w:val="007B6456"/>
    <w:rsid w:val="00804197"/>
    <w:rsid w:val="008712D4"/>
    <w:rsid w:val="008E6081"/>
    <w:rsid w:val="00911A2D"/>
    <w:rsid w:val="00952DF1"/>
    <w:rsid w:val="00991404"/>
    <w:rsid w:val="00A3519A"/>
    <w:rsid w:val="00AA1D8D"/>
    <w:rsid w:val="00B47730"/>
    <w:rsid w:val="00BC1A55"/>
    <w:rsid w:val="00CB0664"/>
    <w:rsid w:val="00D44385"/>
    <w:rsid w:val="00D819A6"/>
    <w:rsid w:val="00D902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957EE5"/>
  <w14:defaultImageDpi w14:val="300"/>
  <w15:docId w15:val="{D9116C69-BF74-42D0-AB86-28D62ED3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line="259" w:lineRule="auto"/>
    </w:pPr>
    <w:rPr>
      <w:rFonts w:ascii="Arial" w:hAnsi="Arial"/>
      <w:color w:val="1F1F1F"/>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6831</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Büroorganisation im Verwaltungsteam - Funktionspostfach</vt:lpstr>
      <vt:lpstr/>
    </vt:vector>
  </TitlesOfParts>
  <Manager/>
  <Company/>
  <LinksUpToDate>false</LinksUpToDate>
  <CharactersWithSpaces>7900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Büroorganisation im Verwaltungsteam - Funktionspostfach</dc:title>
  <dc:subject>Gemeinsame Organisation und Bearbeitung eines Funktionspostfachs</dc:subject>
  <dc:creator>Regionalbüro Vernetzte Beratung ekhn2030</dc:creator>
  <cp:keywords/>
  <dc:description>generated by python-docx</dc:description>
  <cp:lastModifiedBy>Kreuzer, Larissa</cp:lastModifiedBy>
  <cp:revision>9</cp:revision>
  <dcterms:created xsi:type="dcterms:W3CDTF">2026-08-19T15:17:00Z</dcterms:created>
  <dcterms:modified xsi:type="dcterms:W3CDTF">2026-08-24T08:30:00Z</dcterms:modified>
  <cp:category/>
</cp:coreProperties>
</file>